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</w:pPr>
      <w:r>
        <w:rPr>
          <w:rFonts w:ascii="Arial" w:hAnsi="Arial"/>
          <w:b/>
          <w:i w:val="0"/>
          <w:sz w:val="22"/>
        </w:rPr>
        <w:t xml:space="preserve">Table 1 </w:t>
      </w:r>
      <w:r>
        <w:rPr>
          <w:rFonts w:ascii="Arial" w:hAnsi="Arial"/>
          <w:b w:val="0"/>
          <w:i w:val="0"/>
          <w:sz w:val="22"/>
        </w:rPr>
        <w:t>Published UK Biobank studies using light data from the wrist-worn Axivity AX3 device</w:t>
      </w:r>
    </w:p>
    <w:tbl>
      <w:tblPr>
        <w:tblW w:type="dxa" w:w="15137"/>
        <w:jc w:val="left"/>
        <w:tblLayout w:type="fixed"/>
        <w:tblLook w:firstColumn="1" w:firstRow="1" w:lastColumn="0" w:lastRow="0" w:noHBand="0" w:noVBand="1" w:val="04A0"/>
        <w:tblBorders>
          <w:top w:val="single" w:sz="6" w:color="808080"/>
          <w:bottom w:val="single" w:sz="6" w:color="808080"/>
          <w:insideH w:val="single" w:sz="3" w:color="D0D0D0"/>
          <w:left w:val="nil"/>
          <w:right w:val="nil"/>
          <w:insideV w:val="nil"/>
        </w:tblBorders>
      </w:tblPr>
      <w:tblGrid>
        <w:gridCol w:w="1587"/>
        <w:gridCol w:w="1984"/>
        <w:gridCol w:w="1701"/>
        <w:gridCol w:w="2268"/>
        <w:gridCol w:w="3231"/>
        <w:gridCol w:w="4365"/>
      </w:tblGrid>
      <w:tr>
        <w:trPr>
          <w:cantSplit/>
          <w:tblHeader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  <w:shd w:fill="EDEDED"/>
          </w:tcPr>
          <w:p>
            <w:pPr>
              <w:keepNext/>
              <w:widowControl w:val="0"/>
            </w:pPr>
            <w:r>
              <w:rPr>
                <w:rFonts w:ascii="Arial" w:hAnsi="Arial"/>
                <w:b/>
                <w:i w:val="0"/>
                <w:sz w:val="18"/>
              </w:rPr>
              <w:t>Study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  <w:shd w:fill="EDEDED"/>
          </w:tcPr>
          <w:p>
            <w:pPr>
              <w:keepNext/>
              <w:widowControl w:val="0"/>
            </w:pPr>
            <w:r>
              <w:rPr>
                <w:rFonts w:ascii="Arial" w:hAnsi="Arial"/>
                <w:b/>
                <w:i w:val="0"/>
                <w:sz w:val="18"/>
              </w:rPr>
              <w:t>Outcome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  <w:shd w:fill="EDEDED"/>
          </w:tcPr>
          <w:p>
            <w:pPr>
              <w:keepNext/>
              <w:widowControl w:val="0"/>
            </w:pPr>
            <w:r>
              <w:rPr>
                <w:rFonts w:ascii="Arial" w:hAnsi="Arial"/>
                <w:b/>
                <w:i w:val="0"/>
                <w:sz w:val="18"/>
              </w:rPr>
              <w:t>Sample size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  <w:shd w:fill="EDEDED"/>
          </w:tcPr>
          <w:p>
            <w:pPr>
              <w:keepNext/>
              <w:widowControl w:val="0"/>
            </w:pPr>
            <w:r>
              <w:rPr>
                <w:rFonts w:ascii="Arial" w:hAnsi="Arial"/>
                <w:b/>
                <w:i w:val="0"/>
                <w:sz w:val="18"/>
              </w:rPr>
              <w:t>Follow-up period or outcome timing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  <w:shd w:fill="EDEDED"/>
          </w:tcPr>
          <w:p>
            <w:pPr>
              <w:keepNext/>
              <w:widowControl w:val="0"/>
            </w:pPr>
            <w:r>
              <w:rPr>
                <w:rFonts w:ascii="Arial" w:hAnsi="Arial"/>
                <w:b/>
                <w:i w:val="0"/>
                <w:sz w:val="18"/>
              </w:rPr>
              <w:t>Light exposure construct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  <w:shd w:fill="EDEDED"/>
          </w:tcPr>
          <w:p>
            <w:pPr>
              <w:keepNext/>
              <w:widowControl w:val="0"/>
            </w:pPr>
            <w:r>
              <w:rPr>
                <w:rFonts w:ascii="Arial" w:hAnsi="Arial"/>
                <w:b/>
                <w:i w:val="0"/>
                <w:sz w:val="18"/>
              </w:rPr>
              <w:t>Main reported association and construct-level interpretation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Burns et al. (2023) [6]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Psychiatric disorders, symptoms and self-harm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86,772; mental-health questionnaire subset </w:t>
            </w: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61,466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No incident follow-up. The questionnaire subset completed mental-health assessment a mean 1.86 years after light monitoring.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Mean light in factor-derived day (07:30⁠–⁠20:30) and night (00:30⁠–⁠06:00) windows, categorised by exposure percentiles.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Brighter night exposure was associated with higher odds of several psychiatric disorders and self-harm; brighter daytime exposure was associated with lower odds for selected outcomes. The analysis does not establish temporal direction for prevalent diagnoses.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Windred et al. (2024) [7]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Incident type 2 diabetes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84,790; 1,997 incident cases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Mean 7.9 years (SD 1.2)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Day and night exposure percentiles plus circadian phase and amplitude estimated with a biological response model driven by the weekly wrist-light record.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Brighter nights, lower modelled amplitude and phase at the extremes were associated with higher diabetes risk. The model adds temporal dynamics but inherits the measurement properties of the wrist-light input.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Windred et al. (2024) [9]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All-cause and cardiometabolic mortality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88,905; 3,750 deaths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Mean 8.0 years (SD 1.0)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Factor-derived day and night exposure percentiles plus modelled circadian phase and amplitude.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Brighter nights and darker days were associated with higher mortality risk. This analysis uses the same underlying sensor subcohort as several other UK Biobank studies.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Windred et al. (2025) [8]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Incident cardiovascular disease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88,905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Up to 9.5 years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Factor-derived day and night exposure levels categorised into percentile groups.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The brightest night-exposure group had higher reported risks of coronary artery disease, myocardial infarction, heart failure, atrial fibrillation and stroke than the darkest half of the cohort.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Wu et al. (2026) [10]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Incident metabolic dysfunction-associated steatotic liver disease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91,349; 776 incident cases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Median 7.93 years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Mean day and night exposure plus daily duration above daytime thresholds of 2,000, 4,000 and 6,000 lx and night thresholds of 5, 10 and 30 lx; rest-activity rhythm metrics were also analysed.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Longer daytime exposure above 6,000 lx was associated with lower MASLD risk, whereas longer night exposure above 30 lx was associated with higher risk. Threshold-specific duration is a distinct construct from mean day or night light.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Mei et al. (2026) [11]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Gastrointestinal cancer incidence and mortality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89,069; 1,692 incident cases, including 891 fatal cases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Median 8.8 years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Mean daytime light during 07:30⁠–⁠20:30 and duration at or above 5,000 lx.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 w:val="0"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Higher daytime light was associated with lower gastrointestinal cancer incidence and mortality, with the strongest reported associations for pancreatic cancer. The analysis did not assess ocular or spectral dose.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Zhang et al. (2026) [12]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Sleep duration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100,021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Not applicable; cross-sectional analysis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Device-derived daily light-exposure duration analysed with moderate-to-vigorous physical activity and segmented regression.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Light-exposure duration and physical activity showed nonlinear associations and an interaction with sleep duration. The exposure summary emphasised duration rather than time-of-day-specific light.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Zheng et al. (2026) [13]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Incident dementia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87,577; 741 incident cases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Median 8.1 years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Average daytime and night-time exposure plus duration above intensity thresholds, including 1,000 and 5,000 lx during the day.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Higher daytime light and longer exposure at or above 5,000 lx were associated with lower dementia risk; night-time light was not significantly associated. Mediation analyses were explicitly exploratory.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Wu et al. (2026) [14]</w:t>
            </w:r>
          </w:p>
        </w:tc>
        <w:tc>
          <w:tcPr>
            <w:tcW w:type="dxa" w:w="1984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Incident age-related macular degeneration, cataract and glaucoma</w:t>
            </w:r>
          </w:p>
        </w:tc>
        <w:tc>
          <w:tcPr>
            <w:tcW w:type="dxa" w:w="170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/>
                <w:sz w:val="18"/>
              </w:rPr>
              <w:t>n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= 82,826; 6,058 incident age-related eye-disease cases</w:t>
            </w:r>
          </w:p>
        </w:tc>
        <w:tc>
          <w:tcPr>
            <w:tcW w:type="dxa" w:w="2268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Median 7.85 years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Average evening light during 20:00⁠–⁠23:30, percentile categories and duration above high-intensity thresholds.</w:t>
            </w:r>
          </w:p>
        </w:tc>
        <w:tc>
          <w:tcPr>
            <w:tcW w:type="dxa" w:w="4365"/>
            <w:vAlign w:val="top"/>
            <w:tcMar>
              <w:top w:w="65" w:type="dxa"/>
              <w:bottom w:w="65" w:type="dxa"/>
              <w:left w:w="75" w:type="dxa"/>
              <w:right w:w="75" w:type="dxa"/>
            </w:tcMar>
          </w:tcPr>
          <w:p>
            <w:pPr>
              <w:keepNext/>
              <w:widowControl w:val="0"/>
            </w:pPr>
            <w:r>
              <w:rPr>
                <w:rFonts w:ascii="Arial" w:hAnsi="Arial"/>
                <w:b w:val="0"/>
                <w:i w:val="0"/>
                <w:sz w:val="18"/>
              </w:rPr>
              <w:t>Evening exposure above approximately 1,000 lx and longer exposure above 2,250 lx were associated with higher risks of selected age-related eye diseases. The chosen evening window is hypothesis-specific and not equivalent to sleep-period exposure.</w:t>
            </w:r>
          </w:p>
        </w:tc>
      </w:tr>
    </w:tbl>
    <w:p>
      <w:pPr>
        <w:keepNext/>
        <w:spacing w:before="100"/>
      </w:pPr>
      <w:r>
        <w:rPr>
          <w:rFonts w:ascii="Arial" w:hAnsi="Arial"/>
          <w:b w:val="0"/>
          <w:i w:val="0"/>
          <w:sz w:val="17"/>
        </w:rPr>
        <w:t>The table includes peer-reviewed analyses that used the device’s in-built light sensor and excludes studies based only on self-reported time outdoors, screen use, satellite radiance or ultraviolet exposure</w:t>
      </w:r>
    </w:p>
    <w:p>
      <w:pPr>
        <w:keepNext w:val="0"/>
        <w:spacing w:before="60"/>
      </w:pPr>
      <w:r>
        <w:rPr>
          <w:rFonts w:ascii="Arial" w:hAnsi="Arial"/>
          <w:b w:val="0"/>
          <w:i/>
          <w:sz w:val="17"/>
        </w:rPr>
        <w:t>Note:</w:t>
      </w:r>
      <w:r>
        <w:rPr>
          <w:rFonts w:ascii="Arial" w:hAnsi="Arial"/>
          <w:b w:val="0"/>
          <w:i w:val="0"/>
          <w:sz w:val="17"/>
        </w:rPr>
        <w:t xml:space="preserve"> Unless otherwise indicated, studies used one approximately 7-day recording from the dominant wrist. The analytic samples overlap substantially because the studies reuse the same accelerometry subcohort [16] from the UK Biobank [17, 18]. They therefore represent separate outcome analyses, not independent cohort replications. Reported lux values are device-derived approximations from the Axivity light channel and should not be interpreted as corneal or retinal exposure without validation. Abbreviations: MASLD, metabolic dysfunction-associated steatotic liver disease; SD, standard deviation; UK, United Kingdom</w:t>
      </w:r>
    </w:p>
    <w:p>
      <w:pPr>
        <w:keepNext/>
        <w:spacing w:before="160" w:after="80"/>
      </w:pPr>
      <w:r>
        <w:rPr>
          <w:rFonts w:ascii="Arial" w:hAnsi="Arial"/>
          <w:b/>
          <w:i w:val="0"/>
          <w:sz w:val="20"/>
        </w:rPr>
        <w:t>References cited in Table 1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[6]</w:t>
        <w:tab/>
        <w:t>Burns AC, Windred DP, Rutter MK, Olivier P, Vetter C, Saxena R, et al. Day and night light exposure are associated with psychiatric disorders: an objective light study in &gt; 85,000 people. Nat Mental Health. 2023;1(11):853–62.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[7]</w:t>
        <w:tab/>
        <w:t>Windred DP, Burns AC, Rutter MK, Ching Yeung CH, Lane JM, Xiao Q, et al. Personal light exposure patterns and incidence of type 2 diabetes: analysis of 13 million hours of light sensor data and 670,000 person-years of prospective observation. Lancet Reg Health Eur. 2024;42:100943.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[8]</w:t>
        <w:tab/>
        <w:t>Windred DP, Burns AC, Rutter MK, Lane JM, Saxena R, Scheer F, et al. Light Exposure at Night and Cardiovascular Disease Incidence. JAMA Netw Open. 2025;8(10):e2539031.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[9]</w:t>
        <w:tab/>
        <w:t>Windred DP, Burns AC, Lane JM, Olivier P, Rutter MK, Saxena R, et al. Brighter nights and darker days predict higher mortality risk: A prospective analysis of personal light exposure in &gt; 88,000 individuals. Proc Natl Acad Sci U S A. 2024;121(43):e2405924121.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[10]</w:t>
        <w:tab/>
        <w:t>Wu H, Wang W, Weng B, Wei J, Wang N, Zhang J, et al. Diurnal Light Exposure and Rest-Activity Rhythms in Relation to MASLD: Insights From 2 Nationwide Cohort Studies. J Clin Endocrinol Metab. 2026;111(5):1459–69.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[11]</w:t>
        <w:tab/>
        <w:t>Mei X, Wang W, Zheng N, Luo T, Xu J, Chan NY, et al. Higher Daytime Light Exposure Predicts Lower Risk of Gastrointestinal Cancer Incidence and Mortality. Int J Cancer. 2026;159(6):1401–1410. https://doi.org/10.1002/ijc.70517.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[12]</w:t>
        <w:tab/>
        <w:t>Zhang Y, Li G, Wang J, Liu G. Light Exposure, Physical Activity, and Sleep Duration: Evidence of Nonlinear Associations and Interactive Effects in a Large UK Biobank Cohort. Res Q Exerc Sport. 2026 May 4:1–7. Online ahead of print. https://doi.org/10.1080/02701367.2026.2663969.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[13]</w:t>
        <w:tab/>
        <w:t>Zheng N, Wang W, Li B, Mei X, Liu Y, Du J, et al. Associations between wearable-device-measured daytime and nighttime light exposures and dementia risk: A prospective cohort study. Gen Psychiatr. 2026;39(3):e70039.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[14]</w:t>
        <w:tab/>
        <w:t>Wu X, Zhang X, Jiang Y, Gu Z, Li C, Zhu X, et al. Association of high-intensity evening light exposure with risk of incident age-related macular degeneration, cataract, and glaucoma: a prospective cohort study of 82,826 participants. GeroScience. 2026. Published online 3 June 2026. https://doi.org/10.1007/s11357-026-02307-7.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[16]</w:t>
        <w:tab/>
        <w:t>Doherty A, Jackson D, Hammerla N, Plotz T, Olivier P, Granat MH, et al. Large Scale Population Assessment of Physical Activity Using Wrist Worn Accelerometers: The UK Biobank Study. PLoS ONE. 2017;12(2):e0169649.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[17]</w:t>
        <w:tab/>
        <w:t>Sudlow C, Gallacher J, Allen N, Beral V, Burton P, Danesh J, et al. UK biobank: an open access resource for identifying the causes of a wide range of complex diseases of middle and old age. PLoS Med. 2015;12(3):e1001779.</w:t>
      </w:r>
    </w:p>
    <w:p>
      <w:pPr>
        <w:keepLines/>
        <w:tabs>
          <w:tab w:pos="397" w:val="left"/>
        </w:tabs>
        <w:spacing w:after="20"/>
        <w:ind w:left="397" w:hanging="397"/>
      </w:pPr>
      <w:r>
        <w:rPr>
          <w:rFonts w:ascii="Arial" w:hAnsi="Arial"/>
          <w:b w:val="0"/>
          <w:i w:val="0"/>
          <w:sz w:val="17"/>
        </w:rPr>
        <w:t>[18]</w:t>
        <w:tab/>
        <w:t>Ollier W, Sprosen T, Peakman T. UK Biobank: from concept to reality. Pharmacogenomics. 2005;6(6):639–46.</w:t>
      </w:r>
    </w:p>
    <w:sectPr w:rsidR="00FC693F" w:rsidRPr="0006063C" w:rsidSect="00034616">
      <w:pgSz w:w="16838" w:h="11906" w:orient="landscape"/>
      <w:pgMar w:top="680" w:right="850" w:bottom="68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1. Published UK Biobank studies using wrist-worn light data</dc:title>
  <dc:subject>Corrected editable table extracted from the article proof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