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100"/>
      </w:pPr>
      <w:r>
        <w:rPr>
          <w:rFonts w:ascii="Arial" w:hAnsi="Arial"/>
          <w:b/>
          <w:color w:val="000000"/>
          <w:sz w:val="18"/>
        </w:rPr>
        <w:t xml:space="preserve">Table 2 </w:t>
      </w:r>
      <w:r>
        <w:rPr>
          <w:rFonts w:ascii="Arial" w:hAnsi="Arial"/>
          <w:b w:val="0"/>
          <w:color w:val="000000"/>
          <w:sz w:val="18"/>
        </w:rPr>
        <w:t>Metric-specific deviations introduced by wrist placement</w:t>
      </w:r>
    </w:p>
    <w:tbl>
      <w:tblPr>
        <w:tblW w:type="dxa" w:w="4819"/>
        <w:jc w:val="left"/>
        <w:tblLayout w:type="fixed"/>
        <w:tblLook w:firstColumn="1" w:firstRow="1" w:lastColumn="0" w:lastRow="0" w:noHBand="0" w:noVBand="1" w:val="04A0"/>
        <w:tblInd w:w="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2409"/>
        <w:gridCol w:w="2409"/>
      </w:tblGrid>
      <w:tr>
        <w:trPr>
          <w:cantSplit/>
          <w:tblHeader/>
        </w:trPr>
        <w:tc>
          <w:tcPr>
            <w:tcW w:type="dxa" w:w="4819"/>
            <w:vAlign w:val="center"/>
            <w:gridSpan w:val="2"/>
            <w:shd w:fill="FFFFFF"/>
            <w:tcMar>
              <w:top w:w="65" w:type="dxa"/>
              <w:bottom w:w="65" w:type="dxa"/>
              <w:left w:w="90" w:type="dxa"/>
              <w:right w:w="90" w:type="dxa"/>
            </w:tcMar>
          </w:tcPr>
          <w:p>
            <w:pPr>
              <w:keepNext/>
              <w:spacing w:before="0" w:after="0" w:line="259" w:lineRule="auto"/>
              <w:jc w:val="center"/>
            </w:pPr>
            <w:r>
              <w:rPr>
                <w:rFonts w:ascii="Arial" w:hAnsi="Arial"/>
                <w:b/>
                <w:color w:val="000000"/>
                <w:sz w:val="17"/>
              </w:rPr>
              <w:t>Summary overview of metric errors due to wrist wearing position, compared to glasses</w:t>
            </w:r>
          </w:p>
        </w:tc>
      </w:tr>
      <w:tr>
        <w:trPr>
          <w:cantSplit/>
          <w:tblHeader/>
        </w:trPr>
        <w:tc>
          <w:tcPr>
            <w:tcW w:type="dxa" w:w="4819"/>
            <w:vAlign w:val="center"/>
            <w:gridSpan w:val="2"/>
            <w:shd w:fill="FFFFFF"/>
            <w:tcMar>
              <w:top w:w="65" w:type="dxa"/>
              <w:bottom w:w="65" w:type="dxa"/>
              <w:left w:w="90" w:type="dxa"/>
              <w:right w:w="90" w:type="dxa"/>
            </w:tcMar>
          </w:tcPr>
          <w:p>
            <w:pPr>
              <w:keepNext/>
              <w:spacing w:before="0" w:after="0" w:line="259" w:lineRule="auto"/>
              <w:jc w:val="center"/>
            </w:pPr>
            <w:r>
              <w:rPr>
                <w:rFonts w:ascii="Arial" w:hAnsi="Arial"/>
                <w:b w:val="0"/>
                <w:color w:val="000000"/>
                <w:sz w:val="16"/>
              </w:rPr>
              <w:t>Errors are all based on their modelling scale</w:t>
            </w:r>
          </w:p>
        </w:tc>
      </w:tr>
      <w:tr>
        <w:trPr>
          <w:cantSplit/>
          <w:tblHeader/>
        </w:trPr>
        <w:tc>
          <w:tcPr>
            <w:tcW w:type="dxa" w:w="2409"/>
            <w:vAlign w:val="center"/>
            <w:shd w:fill="FFFFFF"/>
            <w:tcMar>
              <w:top w:w="65" w:type="dxa"/>
              <w:bottom w:w="65" w:type="dxa"/>
              <w:left w:w="90" w:type="dxa"/>
              <w:right w:w="90" w:type="dxa"/>
            </w:tcMar>
          </w:tcPr>
          <w:p>
            <w:pPr>
              <w:keepNext/>
              <w:spacing w:before="0" w:after="0" w:line="259" w:lineRule="auto"/>
              <w:jc w:val="center"/>
            </w:pPr>
          </w:p>
        </w:tc>
        <w:tc>
          <w:tcPr>
            <w:tcW w:type="dxa" w:w="2409"/>
            <w:vAlign w:val="center"/>
            <w:shd w:fill="FFFFFF"/>
            <w:tcMar>
              <w:top w:w="65" w:type="dxa"/>
              <w:bottom w:w="65" w:type="dxa"/>
              <w:left w:w="90" w:type="dxa"/>
              <w:right w:w="90" w:type="dxa"/>
            </w:tcMar>
          </w:tcPr>
          <w:p>
            <w:pPr>
              <w:keepNext/>
              <w:spacing w:before="0" w:after="0" w:line="259" w:lineRule="auto"/>
              <w:jc w:val="center"/>
            </w:pPr>
            <w:r>
              <w:rPr>
                <w:rFonts w:ascii="Arial" w:hAnsi="Arial"/>
                <w:b/>
                <w:color w:val="000000"/>
                <w:sz w:val="17"/>
              </w:rPr>
              <w:t>Wrist</w:t>
            </w:r>
          </w:p>
        </w:tc>
      </w:tr>
      <w:tr>
        <w:trPr>
          <w:cantSplit/>
        </w:trPr>
        <w:tc>
          <w:tcPr>
            <w:tcW w:type="dxa" w:w="2409"/>
            <w:vAlign w:val="center"/>
            <w:shd w:fill="FFFFFF"/>
            <w:tcMar>
              <w:top w:w="65" w:type="dxa"/>
              <w:bottom w:w="65" w:type="dxa"/>
              <w:left w:w="90" w:type="dxa"/>
              <w:right w:w="90" w:type="dxa"/>
            </w:tcMar>
          </w:tcPr>
          <w:p>
            <w:pPr>
              <w:keepNext/>
              <w:spacing w:before="0" w:after="0" w:line="259" w:lineRule="auto"/>
              <w:jc w:val="center"/>
            </w:pPr>
            <w:r>
              <w:rPr>
                <w:rFonts w:ascii="Arial" w:hAnsi="Arial"/>
                <w:b/>
                <w:color w:val="000000"/>
                <w:sz w:val="17"/>
              </w:rPr>
              <w:t>Duration</w:t>
            </w:r>
          </w:p>
        </w:tc>
        <w:tc>
          <w:tcPr>
            <w:tcW w:type="dxa" w:w="2409"/>
            <w:vAlign w:val="center"/>
            <w:shd w:fill="F7F7F7"/>
            <w:tcMar>
              <w:top w:w="65" w:type="dxa"/>
              <w:bottom w:w="65" w:type="dxa"/>
              <w:left w:w="90" w:type="dxa"/>
              <w:right w:w="90" w:type="dxa"/>
            </w:tcMar>
          </w:tcPr>
          <w:p>
            <w:pPr>
              <w:keepNext/>
              <w:spacing w:before="0" w:after="0" w:line="259" w:lineRule="auto"/>
              <w:jc w:val="right"/>
            </w:pPr>
            <w:r>
              <w:rPr>
                <w:rFonts w:ascii="Arial" w:hAnsi="Arial"/>
                <w:b/>
                <w:color w:val="000000"/>
                <w:sz w:val="17"/>
              </w:rPr>
              <w:t>2%</w:t>
            </w:r>
            <w:r>
              <w:rPr>
                <w:rFonts w:ascii="Arial" w:hAnsi="Arial"/>
                <w:b w:val="0"/>
                <w:color w:val="404040"/>
                <w:sz w:val="17"/>
              </w:rPr>
              <w:t xml:space="preserve"> (0% - 8%)</w:t>
            </w:r>
            <w:r>
              <w:rPr>
                <w:rFonts w:ascii="Arial" w:hAnsi="Arial"/>
                <w:b w:val="0"/>
                <w:color w:val="000000"/>
                <w:sz w:val="17"/>
              </w:rPr>
              <w:br/>
            </w:r>
            <w:r>
              <w:rPr>
                <w:rFonts w:ascii="Arial" w:hAnsi="Arial"/>
                <w:b/>
                <w:color w:val="000000"/>
                <w:sz w:val="16"/>
              </w:rPr>
              <w:t>signif 8/12</w:t>
            </w:r>
            <w:r>
              <w:rPr>
                <w:rFonts w:ascii="Arial" w:hAnsi="Arial"/>
                <w:b w:val="0"/>
                <w:color w:val="404040"/>
                <w:sz w:val="16"/>
              </w:rPr>
              <w:t>, +2/-10</w:t>
            </w:r>
          </w:p>
        </w:tc>
      </w:tr>
      <w:tr>
        <w:trPr>
          <w:cantSplit/>
        </w:trPr>
        <w:tc>
          <w:tcPr>
            <w:tcW w:type="dxa" w:w="2409"/>
            <w:vAlign w:val="center"/>
            <w:shd w:fill="FFFFFF"/>
            <w:tcMar>
              <w:top w:w="65" w:type="dxa"/>
              <w:bottom w:w="65" w:type="dxa"/>
              <w:left w:w="90" w:type="dxa"/>
              <w:right w:w="90" w:type="dxa"/>
            </w:tcMar>
          </w:tcPr>
          <w:p>
            <w:pPr>
              <w:keepNext/>
              <w:spacing w:before="0" w:after="0" w:line="259" w:lineRule="auto"/>
              <w:jc w:val="center"/>
            </w:pPr>
            <w:r>
              <w:rPr>
                <w:rFonts w:ascii="Arial" w:hAnsi="Arial"/>
                <w:b/>
                <w:color w:val="000000"/>
                <w:sz w:val="17"/>
              </w:rPr>
              <w:t>Exposure history</w:t>
            </w:r>
          </w:p>
        </w:tc>
        <w:tc>
          <w:tcPr>
            <w:tcW w:type="dxa" w:w="2409"/>
            <w:vAlign w:val="center"/>
            <w:shd w:fill="F7F7F7"/>
            <w:tcMar>
              <w:top w:w="65" w:type="dxa"/>
              <w:bottom w:w="65" w:type="dxa"/>
              <w:left w:w="90" w:type="dxa"/>
              <w:right w:w="90" w:type="dxa"/>
            </w:tcMar>
          </w:tcPr>
          <w:p>
            <w:pPr>
              <w:keepNext/>
              <w:spacing w:before="0" w:after="0" w:line="259" w:lineRule="auto"/>
              <w:jc w:val="right"/>
            </w:pPr>
            <w:r>
              <w:rPr>
                <w:rFonts w:ascii="Arial" w:hAnsi="Arial"/>
                <w:b/>
                <w:color w:val="000000"/>
                <w:sz w:val="17"/>
              </w:rPr>
              <w:t>1%</w:t>
            </w:r>
            <w:r>
              <w:rPr>
                <w:rFonts w:ascii="Arial" w:hAnsi="Arial"/>
                <w:b w:val="0"/>
                <w:color w:val="404040"/>
                <w:sz w:val="17"/>
              </w:rPr>
              <w:t xml:space="preserve"> (0% - 1%)</w:t>
            </w:r>
            <w:r>
              <w:rPr>
                <w:rFonts w:ascii="Arial" w:hAnsi="Arial"/>
                <w:b w:val="0"/>
                <w:color w:val="000000"/>
                <w:sz w:val="17"/>
              </w:rPr>
              <w:br/>
            </w:r>
            <w:r>
              <w:rPr>
                <w:rFonts w:ascii="Arial" w:hAnsi="Arial"/>
                <w:b/>
                <w:color w:val="000000"/>
                <w:sz w:val="16"/>
              </w:rPr>
              <w:t>signif 0/2</w:t>
            </w:r>
            <w:r>
              <w:rPr>
                <w:rFonts w:ascii="Arial" w:hAnsi="Arial"/>
                <w:b w:val="0"/>
                <w:color w:val="404040"/>
                <w:sz w:val="16"/>
              </w:rPr>
              <w:t>, +2/-0</w:t>
            </w:r>
          </w:p>
        </w:tc>
      </w:tr>
      <w:tr>
        <w:trPr>
          <w:cantSplit/>
        </w:trPr>
        <w:tc>
          <w:tcPr>
            <w:tcW w:type="dxa" w:w="2409"/>
            <w:vAlign w:val="center"/>
            <w:shd w:fill="FFFFFF"/>
            <w:tcMar>
              <w:top w:w="65" w:type="dxa"/>
              <w:bottom w:w="65" w:type="dxa"/>
              <w:left w:w="90" w:type="dxa"/>
              <w:right w:w="90" w:type="dxa"/>
            </w:tcMar>
          </w:tcPr>
          <w:p>
            <w:pPr>
              <w:keepNext/>
              <w:spacing w:before="0" w:after="0" w:line="259" w:lineRule="auto"/>
              <w:jc w:val="center"/>
            </w:pPr>
            <w:r>
              <w:rPr>
                <w:rFonts w:ascii="Arial" w:hAnsi="Arial"/>
                <w:b/>
                <w:color w:val="000000"/>
                <w:sz w:val="17"/>
              </w:rPr>
              <w:t>Level</w:t>
            </w:r>
          </w:p>
        </w:tc>
        <w:tc>
          <w:tcPr>
            <w:tcW w:type="dxa" w:w="2409"/>
            <w:vAlign w:val="center"/>
            <w:shd w:fill="F7F7F7"/>
            <w:tcMar>
              <w:top w:w="65" w:type="dxa"/>
              <w:bottom w:w="65" w:type="dxa"/>
              <w:left w:w="90" w:type="dxa"/>
              <w:right w:w="90" w:type="dxa"/>
            </w:tcMar>
          </w:tcPr>
          <w:p>
            <w:pPr>
              <w:keepNext/>
              <w:spacing w:before="0" w:after="0" w:line="259" w:lineRule="auto"/>
              <w:jc w:val="right"/>
            </w:pPr>
            <w:r>
              <w:rPr>
                <w:rFonts w:ascii="Arial" w:hAnsi="Arial"/>
                <w:b/>
                <w:color w:val="000000"/>
                <w:sz w:val="17"/>
              </w:rPr>
              <w:t>9%</w:t>
            </w:r>
            <w:r>
              <w:rPr>
                <w:rFonts w:ascii="Arial" w:hAnsi="Arial"/>
                <w:b w:val="0"/>
                <w:color w:val="404040"/>
                <w:sz w:val="17"/>
              </w:rPr>
              <w:t xml:space="preserve"> (1% - 84%)</w:t>
            </w:r>
            <w:r>
              <w:rPr>
                <w:rFonts w:ascii="Arial" w:hAnsi="Arial"/>
                <w:b w:val="0"/>
                <w:color w:val="000000"/>
                <w:sz w:val="17"/>
              </w:rPr>
              <w:br/>
            </w:r>
            <w:r>
              <w:rPr>
                <w:rFonts w:ascii="Arial" w:hAnsi="Arial"/>
                <w:b/>
                <w:color w:val="000000"/>
                <w:sz w:val="16"/>
              </w:rPr>
              <w:t>signif 7/9</w:t>
            </w:r>
            <w:r>
              <w:rPr>
                <w:rFonts w:ascii="Arial" w:hAnsi="Arial"/>
                <w:b w:val="0"/>
                <w:color w:val="404040"/>
                <w:sz w:val="16"/>
              </w:rPr>
              <w:t>, +2/-7</w:t>
            </w:r>
          </w:p>
        </w:tc>
      </w:tr>
      <w:tr>
        <w:trPr>
          <w:cantSplit/>
        </w:trPr>
        <w:tc>
          <w:tcPr>
            <w:tcW w:type="dxa" w:w="2409"/>
            <w:vAlign w:val="center"/>
            <w:shd w:fill="FFFFFF"/>
            <w:tcMar>
              <w:top w:w="65" w:type="dxa"/>
              <w:bottom w:w="65" w:type="dxa"/>
              <w:left w:w="90" w:type="dxa"/>
              <w:right w:w="90" w:type="dxa"/>
            </w:tcMar>
          </w:tcPr>
          <w:p>
            <w:pPr>
              <w:keepNext/>
              <w:spacing w:before="0" w:after="0" w:line="259" w:lineRule="auto"/>
              <w:jc w:val="center"/>
            </w:pPr>
            <w:r>
              <w:rPr>
                <w:rFonts w:ascii="Arial" w:hAnsi="Arial"/>
                <w:b/>
                <w:color w:val="000000"/>
                <w:sz w:val="17"/>
              </w:rPr>
              <w:t>Spectrum</w:t>
            </w:r>
          </w:p>
        </w:tc>
        <w:tc>
          <w:tcPr>
            <w:tcW w:type="dxa" w:w="2409"/>
            <w:vAlign w:val="center"/>
            <w:shd w:fill="F7F7F7"/>
            <w:tcMar>
              <w:top w:w="65" w:type="dxa"/>
              <w:bottom w:w="65" w:type="dxa"/>
              <w:left w:w="90" w:type="dxa"/>
              <w:right w:w="90" w:type="dxa"/>
            </w:tcMar>
          </w:tcPr>
          <w:p>
            <w:pPr>
              <w:keepNext/>
              <w:spacing w:before="0" w:after="0" w:line="259" w:lineRule="auto"/>
              <w:jc w:val="right"/>
            </w:pPr>
            <w:r>
              <w:rPr>
                <w:rFonts w:ascii="Arial" w:hAnsi="Arial"/>
                <w:b/>
                <w:color w:val="000000"/>
                <w:sz w:val="17"/>
              </w:rPr>
              <w:t>5%</w:t>
            </w:r>
            <w:r>
              <w:rPr>
                <w:rFonts w:ascii="Arial" w:hAnsi="Arial"/>
                <w:b w:val="0"/>
                <w:color w:val="404040"/>
                <w:sz w:val="17"/>
              </w:rPr>
              <w:t xml:space="preserve"> (5% - 5%)</w:t>
            </w:r>
            <w:r>
              <w:rPr>
                <w:rFonts w:ascii="Arial" w:hAnsi="Arial"/>
                <w:b w:val="0"/>
                <w:color w:val="000000"/>
                <w:sz w:val="17"/>
              </w:rPr>
              <w:br/>
            </w:r>
            <w:r>
              <w:rPr>
                <w:rFonts w:ascii="Arial" w:hAnsi="Arial"/>
                <w:b/>
                <w:color w:val="000000"/>
                <w:sz w:val="16"/>
              </w:rPr>
              <w:t>signif 1/1</w:t>
            </w:r>
            <w:r>
              <w:rPr>
                <w:rFonts w:ascii="Arial" w:hAnsi="Arial"/>
                <w:b w:val="0"/>
                <w:color w:val="404040"/>
                <w:sz w:val="16"/>
              </w:rPr>
              <w:t>, +0/-1</w:t>
            </w:r>
          </w:p>
        </w:tc>
      </w:tr>
      <w:tr>
        <w:trPr>
          <w:cantSplit/>
        </w:trPr>
        <w:tc>
          <w:tcPr>
            <w:tcW w:type="dxa" w:w="2409"/>
            <w:vAlign w:val="center"/>
            <w:shd w:fill="FFFFFF"/>
            <w:tcMar>
              <w:top w:w="65" w:type="dxa"/>
              <w:bottom w:w="65" w:type="dxa"/>
              <w:left w:w="90" w:type="dxa"/>
              <w:right w:w="90" w:type="dxa"/>
            </w:tcMar>
          </w:tcPr>
          <w:p>
            <w:pPr>
              <w:keepNext/>
              <w:spacing w:before="0" w:after="0" w:line="259" w:lineRule="auto"/>
              <w:jc w:val="center"/>
            </w:pPr>
            <w:r>
              <w:rPr>
                <w:rFonts w:ascii="Arial" w:hAnsi="Arial"/>
                <w:b/>
                <w:color w:val="000000"/>
                <w:sz w:val="17"/>
              </w:rPr>
              <w:t>Temporal dynamics</w:t>
            </w:r>
          </w:p>
        </w:tc>
        <w:tc>
          <w:tcPr>
            <w:tcW w:type="dxa" w:w="2409"/>
            <w:vAlign w:val="center"/>
            <w:shd w:fill="F7F7F7"/>
            <w:tcMar>
              <w:top w:w="65" w:type="dxa"/>
              <w:bottom w:w="65" w:type="dxa"/>
              <w:left w:w="90" w:type="dxa"/>
              <w:right w:w="90" w:type="dxa"/>
            </w:tcMar>
          </w:tcPr>
          <w:p>
            <w:pPr>
              <w:keepNext/>
              <w:spacing w:before="0" w:after="0" w:line="259" w:lineRule="auto"/>
              <w:jc w:val="right"/>
            </w:pPr>
            <w:r>
              <w:rPr>
                <w:rFonts w:ascii="Arial" w:hAnsi="Arial"/>
                <w:b/>
                <w:color w:val="000000"/>
                <w:sz w:val="17"/>
              </w:rPr>
              <w:t>15%</w:t>
            </w:r>
            <w:r>
              <w:rPr>
                <w:rFonts w:ascii="Arial" w:hAnsi="Arial"/>
                <w:b w:val="0"/>
                <w:color w:val="404040"/>
                <w:sz w:val="17"/>
              </w:rPr>
              <w:t xml:space="preserve"> (5% - 52%)</w:t>
            </w:r>
            <w:r>
              <w:rPr>
                <w:rFonts w:ascii="Arial" w:hAnsi="Arial"/>
                <w:b w:val="0"/>
                <w:color w:val="000000"/>
                <w:sz w:val="17"/>
              </w:rPr>
              <w:br/>
            </w:r>
            <w:r>
              <w:rPr>
                <w:rFonts w:ascii="Arial" w:hAnsi="Arial"/>
                <w:b/>
                <w:color w:val="000000"/>
                <w:sz w:val="16"/>
              </w:rPr>
              <w:t>signif 7/7</w:t>
            </w:r>
            <w:r>
              <w:rPr>
                <w:rFonts w:ascii="Arial" w:hAnsi="Arial"/>
                <w:b w:val="0"/>
                <w:color w:val="404040"/>
                <w:sz w:val="16"/>
              </w:rPr>
              <w:t>, +6/-1</w:t>
            </w:r>
          </w:p>
        </w:tc>
      </w:tr>
      <w:tr>
        <w:trPr>
          <w:cantSplit/>
        </w:trPr>
        <w:tc>
          <w:tcPr>
            <w:tcW w:type="dxa" w:w="2409"/>
            <w:vAlign w:val="center"/>
            <w:shd w:fill="FFFFFF"/>
            <w:tcMar>
              <w:top w:w="65" w:type="dxa"/>
              <w:bottom w:w="65" w:type="dxa"/>
              <w:left w:w="90" w:type="dxa"/>
              <w:right w:w="90" w:type="dxa"/>
            </w:tcMar>
          </w:tcPr>
          <w:p>
            <w:pPr>
              <w:keepNext/>
              <w:spacing w:before="0" w:after="0" w:line="259" w:lineRule="auto"/>
              <w:jc w:val="center"/>
            </w:pPr>
            <w:r>
              <w:rPr>
                <w:rFonts w:ascii="Arial" w:hAnsi="Arial"/>
                <w:b/>
                <w:color w:val="000000"/>
                <w:sz w:val="17"/>
              </w:rPr>
              <w:t>Timing</w:t>
            </w:r>
          </w:p>
        </w:tc>
        <w:tc>
          <w:tcPr>
            <w:tcW w:type="dxa" w:w="2409"/>
            <w:vAlign w:val="center"/>
            <w:shd w:fill="F7F7F7"/>
            <w:tcMar>
              <w:top w:w="65" w:type="dxa"/>
              <w:bottom w:w="65" w:type="dxa"/>
              <w:left w:w="90" w:type="dxa"/>
              <w:right w:w="90" w:type="dxa"/>
            </w:tcMar>
          </w:tcPr>
          <w:p>
            <w:pPr>
              <w:keepNext/>
              <w:spacing w:before="0" w:after="0" w:line="259" w:lineRule="auto"/>
              <w:jc w:val="right"/>
            </w:pPr>
            <w:r>
              <w:rPr>
                <w:rFonts w:ascii="Arial" w:hAnsi="Arial"/>
                <w:b/>
                <w:color w:val="000000"/>
                <w:sz w:val="17"/>
              </w:rPr>
              <w:t>2%</w:t>
            </w:r>
            <w:r>
              <w:rPr>
                <w:rFonts w:ascii="Arial" w:hAnsi="Arial"/>
                <w:b w:val="0"/>
                <w:color w:val="404040"/>
                <w:sz w:val="17"/>
              </w:rPr>
              <w:t xml:space="preserve"> (0% - 9%)</w:t>
            </w:r>
            <w:r>
              <w:rPr>
                <w:rFonts w:ascii="Arial" w:hAnsi="Arial"/>
                <w:b w:val="0"/>
                <w:color w:val="000000"/>
                <w:sz w:val="17"/>
              </w:rPr>
              <w:br/>
            </w:r>
            <w:r>
              <w:rPr>
                <w:rFonts w:ascii="Arial" w:hAnsi="Arial"/>
                <w:b/>
                <w:color w:val="000000"/>
                <w:sz w:val="16"/>
              </w:rPr>
              <w:t>signif 4/23</w:t>
            </w:r>
            <w:r>
              <w:rPr>
                <w:rFonts w:ascii="Arial" w:hAnsi="Arial"/>
                <w:b w:val="0"/>
                <w:color w:val="404040"/>
                <w:sz w:val="16"/>
              </w:rPr>
              <w:t>, +21/-2</w:t>
            </w:r>
          </w:p>
        </w:tc>
      </w:tr>
      <w:tr>
        <w:trPr>
          <w:cantSplit/>
        </w:trPr>
        <w:tc>
          <w:tcPr>
            <w:tcW w:type="dxa" w:w="2409"/>
            <w:vAlign w:val="center"/>
            <w:shd w:fill="F0F0F0"/>
            <w:tcMar>
              <w:top w:w="65" w:type="dxa"/>
              <w:bottom w:w="65" w:type="dxa"/>
              <w:left w:w="90" w:type="dxa"/>
              <w:right w:w="90" w:type="dxa"/>
            </w:tcMar>
          </w:tcPr>
          <w:p>
            <w:pPr>
              <w:keepNext/>
              <w:spacing w:before="0" w:after="0" w:line="259" w:lineRule="auto"/>
              <w:jc w:val="center"/>
            </w:pPr>
            <w:r>
              <w:rPr>
                <w:rFonts w:ascii="Arial" w:hAnsi="Arial"/>
                <w:b/>
                <w:color w:val="000000"/>
                <w:sz w:val="17"/>
              </w:rPr>
              <w:t>Overall</w:t>
            </w:r>
          </w:p>
        </w:tc>
        <w:tc>
          <w:tcPr>
            <w:tcW w:type="dxa" w:w="2409"/>
            <w:vAlign w:val="center"/>
            <w:shd w:fill="D9D9D9"/>
            <w:tcMar>
              <w:top w:w="65" w:type="dxa"/>
              <w:bottom w:w="65" w:type="dxa"/>
              <w:left w:w="90" w:type="dxa"/>
              <w:right w:w="90" w:type="dxa"/>
            </w:tcMar>
          </w:tcPr>
          <w:p>
            <w:pPr>
              <w:keepNext/>
              <w:spacing w:before="0" w:after="0" w:line="259" w:lineRule="auto"/>
              <w:jc w:val="right"/>
            </w:pPr>
            <w:r>
              <w:rPr>
                <w:rFonts w:ascii="Arial" w:hAnsi="Arial"/>
                <w:b/>
                <w:color w:val="000000"/>
                <w:sz w:val="17"/>
              </w:rPr>
              <w:t>2%</w:t>
            </w:r>
            <w:r>
              <w:rPr>
                <w:rFonts w:ascii="Arial" w:hAnsi="Arial"/>
                <w:b w:val="0"/>
                <w:color w:val="404040"/>
                <w:sz w:val="17"/>
              </w:rPr>
              <w:t xml:space="preserve"> (0% - 84%)</w:t>
            </w:r>
            <w:r>
              <w:rPr>
                <w:rFonts w:ascii="Arial" w:hAnsi="Arial"/>
                <w:b w:val="0"/>
                <w:color w:val="000000"/>
                <w:sz w:val="17"/>
              </w:rPr>
              <w:br/>
            </w:r>
            <w:r>
              <w:rPr>
                <w:rFonts w:ascii="Arial" w:hAnsi="Arial"/>
                <w:b/>
                <w:color w:val="000000"/>
                <w:sz w:val="16"/>
              </w:rPr>
              <w:t>signif 27/54</w:t>
            </w:r>
            <w:r>
              <w:rPr>
                <w:rFonts w:ascii="Arial" w:hAnsi="Arial"/>
                <w:b w:val="0"/>
                <w:color w:val="404040"/>
                <w:sz w:val="16"/>
              </w:rPr>
              <w:t>, +33/-21</w:t>
            </w:r>
          </w:p>
        </w:tc>
      </w:tr>
      <w:tr>
        <w:trPr>
          <w:cantSplit/>
        </w:trPr>
        <w:tc>
          <w:tcPr>
            <w:tcW w:type="dxa" w:w="2409"/>
            <w:vAlign w:val="center"/>
            <w:shd w:fill="F0F0F0"/>
            <w:tcMar>
              <w:top w:w="65" w:type="dxa"/>
              <w:bottom w:w="65" w:type="dxa"/>
              <w:left w:w="90" w:type="dxa"/>
              <w:right w:w="90" w:type="dxa"/>
            </w:tcMar>
          </w:tcPr>
          <w:p>
            <w:pPr>
              <w:keepNext/>
              <w:spacing w:before="0" w:after="0" w:line="259" w:lineRule="auto"/>
              <w:jc w:val="center"/>
            </w:pPr>
            <w:r>
              <w:rPr>
                <w:rFonts w:ascii="Arial" w:hAnsi="Arial"/>
                <w:b/>
                <w:color w:val="000000"/>
                <w:sz w:val="17"/>
              </w:rPr>
              <w:t>Overall (significant)</w:t>
            </w:r>
          </w:p>
        </w:tc>
        <w:tc>
          <w:tcPr>
            <w:tcW w:type="dxa" w:w="2409"/>
            <w:vAlign w:val="center"/>
            <w:shd w:fill="D9D9D9"/>
            <w:tcMar>
              <w:top w:w="65" w:type="dxa"/>
              <w:bottom w:w="65" w:type="dxa"/>
              <w:left w:w="90" w:type="dxa"/>
              <w:right w:w="90" w:type="dxa"/>
            </w:tcMar>
          </w:tcPr>
          <w:p>
            <w:pPr>
              <w:keepNext/>
              <w:spacing w:before="0" w:after="0" w:line="259" w:lineRule="auto"/>
              <w:jc w:val="right"/>
            </w:pPr>
            <w:r>
              <w:rPr>
                <w:rFonts w:ascii="Arial" w:hAnsi="Arial"/>
                <w:b/>
                <w:color w:val="000000"/>
                <w:sz w:val="17"/>
              </w:rPr>
              <w:t>8%</w:t>
            </w:r>
            <w:r>
              <w:rPr>
                <w:rFonts w:ascii="Arial" w:hAnsi="Arial"/>
                <w:b w:val="0"/>
                <w:color w:val="404040"/>
                <w:sz w:val="17"/>
              </w:rPr>
              <w:t xml:space="preserve"> (1% - 84%)</w:t>
            </w:r>
            <w:r>
              <w:rPr>
                <w:rFonts w:ascii="Arial" w:hAnsi="Arial"/>
                <w:b w:val="0"/>
                <w:color w:val="000000"/>
                <w:sz w:val="17"/>
              </w:rPr>
              <w:br/>
            </w:r>
            <w:r>
              <w:rPr>
                <w:rFonts w:ascii="Arial" w:hAnsi="Arial"/>
                <w:b w:val="0"/>
                <w:color w:val="404040"/>
                <w:sz w:val="16"/>
              </w:rPr>
              <w:t>+11/-16</w:t>
            </w:r>
          </w:p>
        </w:tc>
      </w:tr>
      <w:tr>
        <w:trPr>
          <w:cantSplit/>
        </w:trPr>
        <w:tc>
          <w:tcPr>
            <w:tcW w:type="dxa" w:w="4819"/>
            <w:vAlign w:val="center"/>
            <w:gridSpan w:val="2"/>
            <w:shd w:fill="FFFFFF"/>
            <w:tcMar>
              <w:top w:w="65" w:type="dxa"/>
              <w:bottom w:w="65" w:type="dxa"/>
              <w:left w:w="90" w:type="dxa"/>
              <w:right w:w="90" w:type="dxa"/>
            </w:tcMar>
          </w:tcPr>
          <w:p>
            <w:pPr>
              <w:keepNext w:val="0"/>
              <w:spacing w:before="0" w:after="0" w:line="259" w:lineRule="auto"/>
              <w:jc w:val="center"/>
            </w:pPr>
            <w:r>
              <w:rPr>
                <w:rFonts w:ascii="Arial" w:hAnsi="Arial"/>
                <w:b w:val="0"/>
                <w:color w:val="404040"/>
                <w:sz w:val="15"/>
              </w:rPr>
              <w:t>median error (min - max), significant errors / all metrics, positive / negative deviations</w:t>
            </w:r>
          </w:p>
        </w:tc>
      </w:tr>
    </w:tbl>
    <w:p>
      <w:pPr>
        <w:spacing w:before="100" w:line="259" w:lineRule="auto"/>
      </w:pPr>
      <w:r>
        <w:rPr>
          <w:rFonts w:ascii="Arial" w:hAnsi="Arial"/>
          <w:b w:val="0"/>
          <w:color w:val="000000"/>
          <w:sz w:val="16"/>
        </w:rPr>
        <w:t>Errors due to wrist placement, compared with glasses-based measurement, vary across exposure summaries. Some quantities show small median deviations, while others, particularly level and temporal dynamics, show larger deviations or wider ranges. This supports a construct-specific validation strategy: wrist-worn light measures should be evaluated according to the metric and hypothesis for which they are used, rather than treated as uniformly valid or invalid. Data adapted from Zauner et al., “Sensor placement causes outcome-dependent bias in ambulatory light-exposure estimates” (bioRxiv, 2026; https://doi.org/10.64898/2026.07.28.741277). Abbreviations: max, maximum; min, minimum; signif, significant</w:t>
      </w:r>
    </w:p>
    <w:sectPr w:rsidR="00FC693F" w:rsidRPr="0006063C" w:rsidSect="00034616">
      <w:pgSz w:w="11906" w:h="16838"/>
      <w:pgMar w:top="1134" w:right="5669" w:bottom="1134" w:left="141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Arial" w:hAnsi="Arial" w:eastAsia="Arial"/>
      <w:color w:val="000000"/>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Table 2 Metric specific deviations introduced by wrist placement</dc:title>
  <dc:subject>Editable single column replacement table</dc:subject>
  <dc:creator/>
  <cp:keywords/>
  <dc:description/>
  <cp:lastModifiedBy/>
  <cp:revision>1</cp:revision>
  <dcterms:created xsi:type="dcterms:W3CDTF">2013-12-23T23:15:00Z</dcterms:created>
  <dcterms:modified xsi:type="dcterms:W3CDTF">2013-12-23T23:15:00Z</dcterms:modified>
  <cp:category/>
</cp:coreProperties>
</file>