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40" w:lineRule="auto"/>
        <w:keepNext/>
        <w:jc w:val="center"/>
        <w:pBdr>
          <w:top w:val="single" w:sz="8" w:space="4" w:color="A6A6A6"/>
        </w:pBdr>
      </w:pPr>
      <w:r>
        <w:rPr>
          <w:rFonts w:ascii="Arial" w:hAnsi="Arial" w:eastAsia="Arial"/>
          <w:b w:val="0"/>
          <w:i w:val="0"/>
          <w:color w:val="333333"/>
          <w:sz w:val="24"/>
        </w:rPr>
        <w:t>Summary of outcome-level bias:</w:t>
      </w:r>
    </w:p>
    <w:p>
      <w:pPr>
        <w:spacing w:before="0" w:after="40" w:line="240" w:lineRule="auto"/>
        <w:keepNext/>
        <w:jc w:val="center"/>
      </w:pPr>
      <w:r>
        <w:rPr>
          <w:rFonts w:ascii="Arial" w:hAnsi="Arial" w:eastAsia="Arial"/>
          <w:b w:val="0"/>
          <w:i w:val="0"/>
          <w:color w:val="333333"/>
          <w:sz w:val="24"/>
        </w:rPr>
        <w:t>body-worn versus eye-level measurement</w:t>
      </w:r>
    </w:p>
    <w:p>
      <w:pPr>
        <w:spacing w:before="0" w:after="60" w:line="240" w:lineRule="auto"/>
        <w:keepNext/>
        <w:jc w:val="center"/>
      </w:pPr>
      <w:r>
        <w:rPr>
          <w:rFonts w:ascii="Arial" w:hAnsi="Arial" w:eastAsia="Arial"/>
          <w:b w:val="0"/>
          <w:i w:val="0"/>
          <w:color w:val="333333"/>
          <w:sz w:val="18"/>
        </w:rPr>
        <w:t>Primary analysis: documented non-wear removed; diary-defined sleep retained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jc w:val="center"/>
        <w:tblLayout w:type="fixed"/>
        <w:tblCellMar>
          <w:top w:w="0" w:type="dxa"/>
          <w:bottom w:w="0" w:type="dxa"/>
          <w:start w:w="60" w:type="dxa"/>
          <w:end w:w="60" w:type="dxa"/>
        </w:tblCellMar>
        <w:tblW w:type="dxa" w:w="23013"/>
        <w:tblInd w:w="0" w:type="dxa"/>
      </w:tblPr>
      <w:tblGrid>
        <w:gridCol w:w="1094"/>
        <w:gridCol w:w="4363"/>
        <w:gridCol w:w="706"/>
        <w:gridCol w:w="1541"/>
        <w:gridCol w:w="778"/>
        <w:gridCol w:w="749"/>
        <w:gridCol w:w="778"/>
        <w:gridCol w:w="706"/>
        <w:gridCol w:w="778"/>
        <w:gridCol w:w="835"/>
        <w:gridCol w:w="835"/>
        <w:gridCol w:w="778"/>
        <w:gridCol w:w="778"/>
        <w:gridCol w:w="835"/>
        <w:gridCol w:w="778"/>
        <w:gridCol w:w="835"/>
        <w:gridCol w:w="778"/>
        <w:gridCol w:w="835"/>
        <w:gridCol w:w="893"/>
        <w:gridCol w:w="835"/>
        <w:gridCol w:w="835"/>
        <w:gridCol w:w="835"/>
        <w:gridCol w:w="835"/>
      </w:tblGrid>
      <w:tr>
        <w:trPr>
          <w:cantSplit/>
          <w:tblHeader w:val="true"/>
        </w:trPr>
        <w:tc>
          <w:tcPr>
            <w:tcBorders>
              <w:top w:val="nil"/>
              <w:start w:val="nil"/>
              <w:end w:val="nil"/>
              <w:bottom w:val="single" w:sz="7" w:space="0" w:color="D9D9D9"/>
            </w:tcBorders>
            <w:vMerge w:val="restart"/>
            <w:vAlign w:val="center"/>
            <w:gridSpan w:val="2"/>
            <w:tcW w:w="5457" w:type="dxa"/>
            <w:shd w:val="clear" w:color="auto" w:fill="FFFFFF"/>
            <w:tcMar>
              <w:top w:w="22" w:type="dxa"/>
              <w:start w:w="18" w:type="dxa"/>
              <w:bottom w:w="22" w:type="dxa"/>
              <w:end w:w="18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single" w:sz="7" w:space="0" w:color="A6A6A6"/>
              <w:start w:val="nil"/>
              <w:bottom w:val="single" w:sz="5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22" w:type="dxa"/>
              <w:start w:w="20" w:type="dxa"/>
              <w:bottom w:w="22" w:type="dxa"/>
              <w:end w:w="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single" w:sz="7" w:space="0" w:color="A6A6A6"/>
              <w:bottom w:val="single" w:sz="5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22" w:type="dxa"/>
              <w:start w:w="20" w:type="dxa"/>
              <w:bottom w:w="22" w:type="dxa"/>
              <w:end w:w="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single" w:sz="7" w:space="0" w:color="A6A6A6"/>
              <w:bottom w:val="single" w:sz="5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22" w:type="dxa"/>
              <w:start w:w="20" w:type="dxa"/>
              <w:bottom w:w="22" w:type="dxa"/>
              <w:end w:w="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single" w:sz="7" w:space="0" w:color="A6A6A6"/>
              <w:bottom w:val="single" w:sz="5" w:space="0" w:color="D9D9D9"/>
              <w:start w:val="nil"/>
              <w:end w:val="nil"/>
            </w:tcBorders>
            <w:gridSpan w:val="6"/>
            <w:tcW w:w="4681" w:type="dxa"/>
            <w:vAlign w:val="center"/>
            <w:shd w:val="clear" w:color="auto" w:fill="FFFFFF"/>
            <w:tcMar>
              <w:top w:w="22" w:type="dxa"/>
              <w:start w:w="20" w:type="dxa"/>
              <w:bottom w:w="22" w:type="dxa"/>
              <w:end w:w="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Chest/wrist versus glasses (estimated bias)</w:t>
            </w:r>
          </w:p>
        </w:tc>
        <w:tc>
          <w:tcPr>
            <w:tcBorders>
              <w:top w:val="single" w:sz="7" w:space="0" w:color="A6A6A6"/>
              <w:bottom w:val="single" w:sz="5" w:space="0" w:color="D9D9D9"/>
              <w:start w:val="nil"/>
              <w:end w:val="nil"/>
            </w:tcBorders>
            <w:gridSpan w:val="9"/>
            <w:tcW w:w="7345" w:type="dxa"/>
            <w:vAlign w:val="center"/>
            <w:shd w:val="clear" w:color="auto" w:fill="FFFFFF"/>
            <w:tcMar>
              <w:top w:w="22" w:type="dxa"/>
              <w:start w:w="20" w:type="dxa"/>
              <w:bottom w:w="22" w:type="dxa"/>
              <w:end w:w="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Standard deviation (random effect)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1</w:t>
            </w:r>
          </w:p>
        </w:tc>
        <w:tc>
          <w:tcPr>
            <w:tcBorders>
              <w:top w:val="single" w:sz="7" w:space="0" w:color="A6A6A6"/>
              <w:bottom w:val="single" w:sz="5" w:space="0" w:color="D9D9D9"/>
              <w:end w:val="nil"/>
              <w:start w:val="nil"/>
            </w:tcBorders>
            <w:gridSpan w:val="3"/>
            <w:tcW w:w="2505" w:type="dxa"/>
            <w:vAlign w:val="center"/>
            <w:shd w:val="clear" w:color="auto" w:fill="FFFFFF"/>
            <w:tcMar>
              <w:top w:w="22" w:type="dxa"/>
              <w:start w:w="20" w:type="dxa"/>
              <w:bottom w:w="22" w:type="dxa"/>
              <w:end w:w="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Site effect</w:t>
            </w:r>
          </w:p>
        </w:tc>
      </w:tr>
      <w:tr>
        <w:trPr>
          <w:cantSplit/>
          <w:tblHeader w:val="true"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  <w:gridSpan w:val="2"/>
            <w:tcW w:w="5457" w:type="dxa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7" w:space="0" w:color="D9D9D9"/>
              <w:start w:val="nil"/>
              <w:top w:val="nil"/>
              <w:end w:val="nil"/>
            </w:tcBorders>
            <w:tcW w:w="706" w:type="dxa"/>
            <w:vAlign w:val="center"/>
            <w:shd w:val="clear" w:color="auto" w:fill="FFFFFF"/>
            <w:tcMar>
              <w:top w:w="22" w:type="dxa"/>
              <w:start w:w="18" w:type="dxa"/>
              <w:bottom w:w="22" w:type="dxa"/>
              <w:end w:w="18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Scale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2</w:t>
            </w:r>
          </w:p>
        </w:tc>
        <w:tc>
          <w:tcPr>
            <w:tcBorders>
              <w:bottom w:val="single" w:sz="7" w:space="0" w:color="D9D9D9"/>
              <w:top w:val="nil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22" w:type="dxa"/>
              <w:start w:w="18" w:type="dxa"/>
              <w:bottom w:w="22" w:type="dxa"/>
              <w:end w:w="18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73C2"/>
                <w:sz w:val="18"/>
              </w:rPr>
              <w:t>Reference</w:t>
            </w:r>
            <w:r>
              <w:rPr>
                <w:rFonts w:ascii="Arial" w:hAnsi="Arial" w:eastAsia="Arial"/>
                <w:b/>
                <w:i w:val="0"/>
                <w:color w:val="0073C2"/>
                <w:sz w:val="18"/>
                <w:vertAlign w:val="superscript"/>
              </w:rPr>
              <w:t>3</w:t>
            </w:r>
          </w:p>
        </w:tc>
        <w:tc>
          <w:tcPr>
            <w:tcBorders>
              <w:bottom w:val="single" w:sz="7" w:space="0" w:color="D9D9D9"/>
              <w:top w:val="nil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22" w:type="dxa"/>
              <w:start w:w="18" w:type="dxa"/>
              <w:bottom w:w="22" w:type="dxa"/>
              <w:end w:w="18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bottom w:val="single" w:sz="7" w:space="0" w:color="D9D9D9"/>
              <w:top w:val="nil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22" w:type="dxa"/>
              <w:start w:w="18" w:type="dxa"/>
              <w:bottom w:w="22" w:type="dxa"/>
              <w:end w:w="18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EFC000"/>
                <w:sz w:val="18"/>
              </w:rPr>
              <w:t>Chest</w:t>
            </w:r>
            <w:r>
              <w:rPr>
                <w:rFonts w:ascii="Arial" w:hAnsi="Arial" w:eastAsia="Arial"/>
                <w:b/>
                <w:i w:val="0"/>
                <w:color w:val="EFC000"/>
                <w:sz w:val="18"/>
                <w:vertAlign w:val="superscript"/>
              </w:rPr>
              <w:t>3,4</w:t>
            </w:r>
          </w:p>
        </w:tc>
        <w:tc>
          <w:tcPr>
            <w:tcBorders>
              <w:bottom w:val="single" w:sz="7" w:space="0" w:color="D9D9D9"/>
              <w:top w:val="nil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22" w:type="dxa"/>
              <w:start w:w="18" w:type="dxa"/>
              <w:bottom w:w="22" w:type="dxa"/>
              <w:end w:w="18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bottom w:val="single" w:sz="7" w:space="0" w:color="D9D9D9"/>
              <w:top w:val="nil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22" w:type="dxa"/>
              <w:start w:w="18" w:type="dxa"/>
              <w:bottom w:w="22" w:type="dxa"/>
              <w:end w:w="18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868686"/>
                <w:sz w:val="18"/>
              </w:rPr>
              <w:t>Wrist</w:t>
            </w:r>
            <w:r>
              <w:rPr>
                <w:rFonts w:ascii="Arial" w:hAnsi="Arial" w:eastAsia="Arial"/>
                <w:b/>
                <w:i w:val="0"/>
                <w:color w:val="868686"/>
                <w:sz w:val="18"/>
                <w:vertAlign w:val="superscript"/>
              </w:rPr>
              <w:t>3,4</w:t>
            </w:r>
          </w:p>
        </w:tc>
        <w:tc>
          <w:tcPr>
            <w:tcBorders>
              <w:bottom w:val="single" w:sz="7" w:space="0" w:color="D9D9D9"/>
              <w:top w:val="nil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22" w:type="dxa"/>
              <w:start w:w="18" w:type="dxa"/>
              <w:bottom w:w="22" w:type="dxa"/>
              <w:end w:w="18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bottom w:val="single" w:sz="7" w:space="0" w:color="D9D9D9"/>
              <w:top w:val="nil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22" w:type="dxa"/>
              <w:start w:w="18" w:type="dxa"/>
              <w:bottom w:w="22" w:type="dxa"/>
              <w:end w:w="18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p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5</w:t>
            </w:r>
          </w:p>
        </w:tc>
        <w:tc>
          <w:tcPr>
            <w:tcBorders>
              <w:bottom w:val="single" w:sz="7" w:space="0" w:color="D9D9D9"/>
              <w:top w:val="nil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22" w:type="dxa"/>
              <w:start w:w="18" w:type="dxa"/>
              <w:bottom w:w="22" w:type="dxa"/>
              <w:end w:w="18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R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2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6</w:t>
            </w:r>
          </w:p>
        </w:tc>
        <w:tc>
          <w:tcPr>
            <w:tcBorders>
              <w:bottom w:val="single" w:sz="7" w:space="0" w:color="D9D9D9"/>
              <w:top w:val="nil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22" w:type="dxa"/>
              <w:start w:w="18" w:type="dxa"/>
              <w:bottom w:w="22" w:type="dxa"/>
              <w:end w:w="18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Chest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4</w:t>
            </w:r>
          </w:p>
        </w:tc>
        <w:tc>
          <w:tcPr>
            <w:tcBorders>
              <w:bottom w:val="single" w:sz="7" w:space="0" w:color="D9D9D9"/>
              <w:top w:val="nil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22" w:type="dxa"/>
              <w:start w:w="18" w:type="dxa"/>
              <w:bottom w:w="22" w:type="dxa"/>
              <w:end w:w="18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Wrist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4</w:t>
            </w:r>
          </w:p>
        </w:tc>
        <w:tc>
          <w:tcPr>
            <w:tcBorders>
              <w:bottom w:val="single" w:sz="7" w:space="0" w:color="D9D9D9"/>
              <w:top w:val="nil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22" w:type="dxa"/>
              <w:start w:w="18" w:type="dxa"/>
              <w:bottom w:w="22" w:type="dxa"/>
              <w:end w:w="18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R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2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bscript"/>
              </w:rPr>
              <w:t>Slope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6</w:t>
            </w:r>
          </w:p>
        </w:tc>
        <w:tc>
          <w:tcPr>
            <w:tcBorders>
              <w:bottom w:val="single" w:sz="7" w:space="0" w:color="D9D9D9"/>
              <w:top w:val="nil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22" w:type="dxa"/>
              <w:start w:w="18" w:type="dxa"/>
              <w:bottom w:w="22" w:type="dxa"/>
              <w:end w:w="18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4</w:t>
            </w:r>
          </w:p>
        </w:tc>
        <w:tc>
          <w:tcPr>
            <w:tcBorders>
              <w:bottom w:val="single" w:sz="7" w:space="0" w:color="D9D9D9"/>
              <w:top w:val="nil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22" w:type="dxa"/>
              <w:start w:w="18" w:type="dxa"/>
              <w:bottom w:w="22" w:type="dxa"/>
              <w:end w:w="18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R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2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6</w:t>
            </w:r>
          </w:p>
        </w:tc>
        <w:tc>
          <w:tcPr>
            <w:tcBorders>
              <w:bottom w:val="single" w:sz="7" w:space="0" w:color="D9D9D9"/>
              <w:top w:val="nil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22" w:type="dxa"/>
              <w:start w:w="18" w:type="dxa"/>
              <w:bottom w:w="22" w:type="dxa"/>
              <w:end w:w="18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Date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4</w:t>
            </w:r>
          </w:p>
        </w:tc>
        <w:tc>
          <w:tcPr>
            <w:tcBorders>
              <w:bottom w:val="single" w:sz="7" w:space="0" w:color="D9D9D9"/>
              <w:top w:val="nil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22" w:type="dxa"/>
              <w:start w:w="18" w:type="dxa"/>
              <w:bottom w:w="22" w:type="dxa"/>
              <w:end w:w="18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R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2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bscript"/>
              </w:rPr>
              <w:t>Date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6</w:t>
            </w:r>
          </w:p>
        </w:tc>
        <w:tc>
          <w:tcPr>
            <w:tcBorders>
              <w:bottom w:val="single" w:sz="7" w:space="0" w:color="D9D9D9"/>
              <w:top w:val="nil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22" w:type="dxa"/>
              <w:start w:w="18" w:type="dxa"/>
              <w:bottom w:w="22" w:type="dxa"/>
              <w:end w:w="18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Residual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4</w:t>
            </w:r>
          </w:p>
        </w:tc>
        <w:tc>
          <w:tcPr>
            <w:tcBorders>
              <w:bottom w:val="single" w:sz="7" w:space="0" w:color="D9D9D9"/>
              <w:top w:val="nil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22" w:type="dxa"/>
              <w:start w:w="18" w:type="dxa"/>
              <w:bottom w:w="22" w:type="dxa"/>
              <w:end w:w="18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R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2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bscript"/>
              </w:rPr>
              <w:t>Res.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6</w:t>
            </w:r>
          </w:p>
        </w:tc>
        <w:tc>
          <w:tcPr>
            <w:tcBorders>
              <w:bottom w:val="single" w:sz="7" w:space="0" w:color="D9D9D9"/>
              <w:top w:val="nil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22" w:type="dxa"/>
              <w:start w:w="18" w:type="dxa"/>
              <w:bottom w:w="22" w:type="dxa"/>
              <w:end w:w="18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p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bscript"/>
              </w:rPr>
              <w:t>Site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5</w:t>
            </w:r>
          </w:p>
        </w:tc>
        <w:tc>
          <w:tcPr>
            <w:tcBorders>
              <w:bottom w:val="single" w:sz="7" w:space="0" w:color="D9D9D9"/>
              <w:top w:val="nil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22" w:type="dxa"/>
              <w:start w:w="18" w:type="dxa"/>
              <w:bottom w:w="22" w:type="dxa"/>
              <w:end w:w="18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p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bscript"/>
              </w:rPr>
              <w:t>Inter.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5</w:t>
            </w:r>
          </w:p>
        </w:tc>
        <w:tc>
          <w:tcPr>
            <w:tcBorders>
              <w:bottom w:val="single" w:sz="7" w:space="0" w:color="D9D9D9"/>
              <w:end w:val="nil"/>
              <w:top w:val="nil"/>
              <w:start w:val="nil"/>
            </w:tcBorders>
            <w:tcW w:w="835" w:type="dxa"/>
            <w:vAlign w:val="center"/>
            <w:shd w:val="clear" w:color="auto" w:fill="FFFFFF"/>
            <w:tcMar>
              <w:top w:w="22" w:type="dxa"/>
              <w:start w:w="18" w:type="dxa"/>
              <w:bottom w:w="22" w:type="dxa"/>
              <w:end w:w="18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R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2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bscript"/>
              </w:rPr>
              <w:t>Site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6</w:t>
            </w:r>
          </w:p>
        </w:tc>
      </w:tr>
      <w:tr>
        <w:trPr>
          <w:cantSplit/>
        </w:trPr>
        <w:tc>
          <w:tcPr>
            <w:tcBorders>
              <w:top w:val="single" w:sz="6" w:space="0" w:color="D9D9D9"/>
              <w:bottom w:val="single" w:sz="6" w:space="0" w:color="D9D9D9"/>
              <w:start w:val="nil"/>
              <w:end w:val="nil"/>
            </w:tcBorders>
            <w:tcMar>
              <w:top w:w="26" w:type="dxa"/>
              <w:start w:w="20" w:type="dxa"/>
              <w:bottom w:w="20" w:type="dxa"/>
              <w:end w:w="20" w:type="dxa"/>
            </w:tcMar>
            <w:gridSpan w:val="23"/>
            <w:tcW w:w="23013" w:type="dxa"/>
            <w:vAlign w:val="center"/>
            <w:shd w:val="clear" w:color="auto" w:fill="FFFFFF"/>
          </w:tcPr>
          <w:p>
            <w:pPr>
              <w:spacing w:before="0" w:after="0" w:line="240" w:lineRule="auto"/>
              <w:keepNext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vMerge w:val="restart"/>
            <w:tcW w:w="1094" w:type="dxa"/>
            <w:vAlign w:val="center"/>
            <w:tcMar>
              <w:top w:w="18" w:type="dxa"/>
              <w:start w:w="16" w:type="dxa"/>
              <w:bottom w:w="18" w:type="dxa"/>
              <w:end w:w="16" w:type="dxa"/>
            </w:tcMar>
            <w:shd w:val="clear" w:color="auto" w:fill="FFFFFF"/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Barroso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Bright cluster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log10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3.56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69%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0.061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0.6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Barroso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Dark cluster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log10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4.42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-0%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44AA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62%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10%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vMerge w:val="restart"/>
            <w:tcW w:w="1094" w:type="dxa"/>
            <w:vAlign w:val="center"/>
            <w:tcMar>
              <w:top w:w="18" w:type="dxa"/>
              <w:start w:w="16" w:type="dxa"/>
              <w:bottom w:w="18" w:type="dxa"/>
              <w:end w:w="16" w:type="dxa"/>
            </w:tcMar>
            <w:shd w:val="clear" w:color="auto" w:fill="FFFFFF"/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Duration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Duration above 10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1.05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0.003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Duration above 1000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8.00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88CCEE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117733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0.7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0.8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Duration above 250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9.09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88CCEE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117733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-1%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-0%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0.11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50%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&gt;0.9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13%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vMerge w:val="restart"/>
            <w:tcW w:w="1094" w:type="dxa"/>
            <w:vAlign w:val="center"/>
            <w:tcMar>
              <w:top w:w="18" w:type="dxa"/>
              <w:start w:w="16" w:type="dxa"/>
              <w:bottom w:w="18" w:type="dxa"/>
              <w:end w:w="16" w:type="dxa"/>
            </w:tcMar>
            <w:shd w:val="clear" w:color="auto" w:fill="FFFFFF"/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Pulses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Mean duration pulses above 1000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log10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2.73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0.003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76%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0.066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&gt;0.9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Pulses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Mean duration pulses above 250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log10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2.95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71%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0.021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0.7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4%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vMerge w:val="restart"/>
            <w:tcW w:w="1094" w:type="dxa"/>
            <w:vAlign w:val="center"/>
            <w:tcMar>
              <w:top w:w="18" w:type="dxa"/>
              <w:start w:w="16" w:type="dxa"/>
              <w:bottom w:w="18" w:type="dxa"/>
              <w:end w:w="16" w:type="dxa"/>
            </w:tcMar>
            <w:shd w:val="clear" w:color="auto" w:fill="FFFFFF"/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Duration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Period above 10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log10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3.95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73%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0.016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0.044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Period above 1000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log10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2.48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-1%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-4%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0.091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±20%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±40%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75%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0.011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0.6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Period above 250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log10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3.05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±24%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79%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0.040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0.7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3%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vMerge w:val="restart"/>
            <w:tcW w:w="1094" w:type="dxa"/>
            <w:vAlign w:val="center"/>
            <w:tcMar>
              <w:top w:w="18" w:type="dxa"/>
              <w:start w:w="16" w:type="dxa"/>
              <w:bottom w:w="18" w:type="dxa"/>
              <w:end w:w="16" w:type="dxa"/>
            </w:tcMar>
            <w:shd w:val="clear" w:color="auto" w:fill="FFFFFF"/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Pulses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Total duration pulses above 1000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7.98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88CCEE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44AA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0.6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52%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0.8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Pulses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Total duration pulses above 250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8.94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44AA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0.003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0.8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12%</w:t>
            </w:r>
          </w:p>
        </w:tc>
      </w:tr>
      <w:tr>
        <w:trPr>
          <w:cantSplit/>
        </w:trPr>
        <w:tc>
          <w:tcPr>
            <w:tcBorders>
              <w:top w:val="single" w:sz="6" w:space="0" w:color="D9D9D9"/>
              <w:bottom w:val="single" w:sz="6" w:space="0" w:color="D9D9D9"/>
              <w:start w:val="nil"/>
              <w:end w:val="nil"/>
            </w:tcBorders>
            <w:tcMar>
              <w:top w:w="26" w:type="dxa"/>
              <w:start w:w="20" w:type="dxa"/>
              <w:bottom w:w="20" w:type="dxa"/>
              <w:end w:w="20" w:type="dxa"/>
            </w:tcMar>
            <w:gridSpan w:val="23"/>
            <w:tcW w:w="23013" w:type="dxa"/>
            <w:vAlign w:val="center"/>
            <w:shd w:val="clear" w:color="auto" w:fill="FFFFFF"/>
          </w:tcPr>
          <w:p>
            <w:pPr>
              <w:spacing w:before="0" w:after="0" w:line="240" w:lineRule="auto"/>
              <w:keepNext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094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Melanopic dose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Dose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log10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3.65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0.2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67%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0.002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0.5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6%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094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Mean nvrd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nvRD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2.38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-1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88CCEE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-1%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0.7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±32%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±37%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50%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0.8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13%</w:t>
            </w:r>
          </w:p>
        </w:tc>
      </w:tr>
      <w:tr>
        <w:trPr>
          <w:cantSplit/>
        </w:trPr>
        <w:tc>
          <w:tcPr>
            <w:tcBorders>
              <w:top w:val="single" w:sz="6" w:space="0" w:color="D9D9D9"/>
              <w:bottom w:val="single" w:sz="6" w:space="0" w:color="D9D9D9"/>
              <w:start w:val="nil"/>
              <w:end w:val="nil"/>
            </w:tcBorders>
            <w:tcMar>
              <w:top w:w="26" w:type="dxa"/>
              <w:start w:w="20" w:type="dxa"/>
              <w:bottom w:w="20" w:type="dxa"/>
              <w:end w:w="20" w:type="dxa"/>
            </w:tcMar>
            <w:gridSpan w:val="23"/>
            <w:tcW w:w="23013" w:type="dxa"/>
            <w:vAlign w:val="center"/>
            <w:shd w:val="clear" w:color="auto" w:fill="FFFFFF"/>
          </w:tcPr>
          <w:p>
            <w:pPr>
              <w:spacing w:before="0" w:after="0" w:line="240" w:lineRule="auto"/>
              <w:keepNext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vMerge w:val="restart"/>
            <w:tcW w:w="1094" w:type="dxa"/>
            <w:vAlign w:val="center"/>
            <w:tcMar>
              <w:top w:w="18" w:type="dxa"/>
              <w:start w:w="16" w:type="dxa"/>
              <w:bottom w:w="18" w:type="dxa"/>
              <w:end w:w="16" w:type="dxa"/>
            </w:tcMar>
            <w:shd w:val="clear" w:color="auto" w:fill="FFFFFF"/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Barroso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Bright mean level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log10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2.33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88CCEE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-1%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-2%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0.2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±20%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±28%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60%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0.5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Barroso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Bright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log10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1.80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±25%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±33%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56%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0.12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10%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094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Brightest / darkest period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Brightest 10h mean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log10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1.95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88CCEE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88CCEE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-12%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±21%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±28%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56%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0.017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11%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vMerge w:val="restart"/>
            <w:tcW w:w="1094" w:type="dxa"/>
            <w:vAlign w:val="center"/>
            <w:tcMar>
              <w:top w:w="18" w:type="dxa"/>
              <w:start w:w="16" w:type="dxa"/>
              <w:bottom w:w="18" w:type="dxa"/>
              <w:end w:w="16" w:type="dxa"/>
            </w:tcMar>
            <w:shd w:val="clear" w:color="auto" w:fill="FFFFFF"/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Barroso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Dark mean level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log10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-8.84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-1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±26%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66%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0.002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Barroso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Dark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log10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-3.73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-1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-50%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332288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-84%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±59%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±80%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±137%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±64%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±116%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14%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094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Brightest / darkest period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Darkest 10h mean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log10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-6.53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-1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332288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332288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-11%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±29%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±33%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14%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vMerge w:val="restart"/>
            <w:tcW w:w="1094" w:type="dxa"/>
            <w:vAlign w:val="center"/>
            <w:tcMar>
              <w:top w:w="18" w:type="dxa"/>
              <w:start w:w="16" w:type="dxa"/>
              <w:bottom w:w="18" w:type="dxa"/>
              <w:end w:w="16" w:type="dxa"/>
            </w:tcMar>
            <w:shd w:val="clear" w:color="auto" w:fill="FFFFFF"/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Pulses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Mean level pulses above 1000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log10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3.76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332288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E4F5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+2%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E4F5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69%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0.074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Pulses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Mean level pulses above 250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log10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3.31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117733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44AA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E4F5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+3%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64%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0.3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14%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094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Mean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Mean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log10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6.66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-1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-15%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-25%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±44%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±50%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12%</w:t>
            </w:r>
          </w:p>
        </w:tc>
      </w:tr>
      <w:tr>
        <w:trPr>
          <w:cantSplit/>
        </w:trPr>
        <w:tc>
          <w:tcPr>
            <w:tcBorders>
              <w:top w:val="single" w:sz="6" w:space="0" w:color="D9D9D9"/>
              <w:bottom w:val="single" w:sz="6" w:space="0" w:color="D9D9D9"/>
              <w:start w:val="nil"/>
              <w:end w:val="nil"/>
            </w:tcBorders>
            <w:tcMar>
              <w:top w:w="26" w:type="dxa"/>
              <w:start w:w="20" w:type="dxa"/>
              <w:bottom w:w="20" w:type="dxa"/>
              <w:end w:w="20" w:type="dxa"/>
            </w:tcMar>
            <w:gridSpan w:val="23"/>
            <w:tcW w:w="23013" w:type="dxa"/>
            <w:vAlign w:val="center"/>
            <w:shd w:val="clear" w:color="auto" w:fill="FFFFFF"/>
          </w:tcPr>
          <w:p>
            <w:pPr>
              <w:spacing w:before="0" w:after="0" w:line="240" w:lineRule="auto"/>
              <w:keepNext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094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MDER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MDER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7.53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-1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-1%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55%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0.003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0.11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8%</w:t>
            </w:r>
          </w:p>
        </w:tc>
      </w:tr>
      <w:tr>
        <w:trPr>
          <w:cantSplit/>
        </w:trPr>
        <w:tc>
          <w:tcPr>
            <w:tcBorders>
              <w:top w:val="single" w:sz="6" w:space="0" w:color="D9D9D9"/>
              <w:bottom w:val="single" w:sz="6" w:space="0" w:color="D9D9D9"/>
              <w:start w:val="nil"/>
              <w:end w:val="nil"/>
            </w:tcBorders>
            <w:tcMar>
              <w:top w:w="26" w:type="dxa"/>
              <w:start w:w="20" w:type="dxa"/>
              <w:bottom w:w="20" w:type="dxa"/>
              <w:end w:w="20" w:type="dxa"/>
            </w:tcMar>
            <w:gridSpan w:val="23"/>
            <w:tcW w:w="23013" w:type="dxa"/>
            <w:vAlign w:val="center"/>
            <w:shd w:val="clear" w:color="auto" w:fill="FFFFFF"/>
          </w:tcPr>
          <w:p>
            <w:pPr>
              <w:spacing w:before="0" w:after="0" w:line="240" w:lineRule="auto"/>
              <w:keepNext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Temporal dynamics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094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Barroso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Circadian variation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5.46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E4F5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+12%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E4F5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+15%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0.002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±33%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±68%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78%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0.055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0.3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3%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094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Disparity index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Disparity index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1.74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-1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E4F5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+16%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88CCEE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E4F5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+52%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88CCEE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117733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±35%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±38%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0.022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8%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094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Frequency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Frequency crossing 250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4.94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88CCEE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88CCEE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117733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E4F5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+5%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88CCEE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117733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69%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13%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094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Interdaily stability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Interdaily stability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logit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1.40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88CCEE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-18%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2F2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-22%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±45%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64%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±23%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0.2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15%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094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Intradaily variability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Intradaily variability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2.95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-1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E4F5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+16%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E4F5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+20%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±25%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0.2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24%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vMerge w:val="restart"/>
            <w:tcW w:w="1094" w:type="dxa"/>
            <w:vAlign w:val="center"/>
            <w:tcMar>
              <w:top w:w="18" w:type="dxa"/>
              <w:start w:w="16" w:type="dxa"/>
              <w:bottom w:w="18" w:type="dxa"/>
              <w:end w:w="16" w:type="dxa"/>
            </w:tcMar>
            <w:shd w:val="clear" w:color="auto" w:fill="FFFFFF"/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Pulses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N pulses above 1000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1.19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88CCEE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117733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E4F5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+9%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±51%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53%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0.2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Pulses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N pulses above 250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log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1.77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88CCEE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117733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E4F5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+5%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E4F5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+9%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±25%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55%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±33%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0.5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12%</w:t>
            </w:r>
          </w:p>
        </w:tc>
      </w:tr>
      <w:tr>
        <w:trPr>
          <w:cantSplit/>
        </w:trPr>
        <w:tc>
          <w:tcPr>
            <w:tcBorders>
              <w:top w:val="single" w:sz="6" w:space="0" w:color="D9D9D9"/>
              <w:bottom w:val="single" w:sz="6" w:space="0" w:color="D9D9D9"/>
              <w:start w:val="nil"/>
              <w:end w:val="nil"/>
            </w:tcBorders>
            <w:tcMar>
              <w:top w:w="26" w:type="dxa"/>
              <w:start w:w="20" w:type="dxa"/>
              <w:bottom w:w="20" w:type="dxa"/>
              <w:end w:w="20" w:type="dxa"/>
            </w:tcMar>
            <w:gridSpan w:val="23"/>
            <w:tcW w:w="23013" w:type="dxa"/>
            <w:vAlign w:val="center"/>
            <w:shd w:val="clear" w:color="auto" w:fill="FFFFFF"/>
          </w:tcPr>
          <w:p>
            <w:pPr>
              <w:pageBreakBefore/>
              <w:spacing w:before="0" w:after="0" w:line="240" w:lineRule="auto"/>
              <w:keepNext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vMerge w:val="restart"/>
            <w:tcW w:w="1094" w:type="dxa"/>
            <w:vAlign w:val="center"/>
            <w:tcMar>
              <w:top w:w="18" w:type="dxa"/>
              <w:start w:w="16" w:type="dxa"/>
              <w:bottom w:w="18" w:type="dxa"/>
              <w:end w:w="16" w:type="dxa"/>
            </w:tcMar>
            <w:shd w:val="clear" w:color="auto" w:fill="FFFFFF"/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Brightest / darkest period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Brightest 10h midpoint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4.98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2288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44AA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0.2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72%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&gt;0.9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/ darkest period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Brightest 10h offset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6.78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0.10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0.8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/ darkest period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Brightest 10h onset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3.18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0.10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0.8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7%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094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Centroid of light exposure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Centroid LE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4.83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44AA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0.6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72%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&gt;0.9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15%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vMerge w:val="restart"/>
            <w:tcW w:w="1094" w:type="dxa"/>
            <w:vAlign w:val="center"/>
            <w:tcMar>
              <w:top w:w="18" w:type="dxa"/>
              <w:start w:w="16" w:type="dxa"/>
              <w:bottom w:w="18" w:type="dxa"/>
              <w:end w:w="16" w:type="dxa"/>
            </w:tcMar>
            <w:shd w:val="clear" w:color="auto" w:fill="FFFFFF"/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Brightest / darkest period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Darkest 10h midpoint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9.50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3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332288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88CCEE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-1%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E4F5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+3%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0.7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/ darkest period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Darkest 10h offset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2.78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2288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88CCEE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E4F5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+3%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0.006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51%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0.5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/ darkest period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Darkest 10h onset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-8.16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3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2288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88CCEE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-1%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E4F5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+2%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10%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vMerge w:val="restart"/>
            <w:tcW w:w="1094" w:type="dxa"/>
            <w:vAlign w:val="center"/>
            <w:tcMar>
              <w:top w:w="18" w:type="dxa"/>
              <w:start w:w="16" w:type="dxa"/>
              <w:bottom w:w="18" w:type="dxa"/>
              <w:end w:w="16" w:type="dxa"/>
            </w:tcMar>
            <w:shd w:val="clear" w:color="auto" w:fill="FFFFFF"/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Timing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First timing above 10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1.99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332288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-3%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0.009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61%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0.050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Timing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First timing above 1000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3.49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332288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88CCEE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0.3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54%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&gt;0.9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Timing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First timing above 250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3.14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-1%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0.2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71%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0.005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&gt;0.9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Timing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Last timing above 10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8.12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2288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332288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E4F5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332288"/>
                <w:sz w:val="21"/>
              </w:rPr>
              <w:t>↑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0.034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55%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0.025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Timing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Last timing above 1000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6.23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117733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44AA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54%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&gt;0.9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Timing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Last timing above 250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6.90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44AA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-1%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0.10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0.3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10%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vMerge w:val="restart"/>
            <w:tcW w:w="1094" w:type="dxa"/>
            <w:vAlign w:val="center"/>
            <w:tcMar>
              <w:top w:w="18" w:type="dxa"/>
              <w:start w:w="16" w:type="dxa"/>
              <w:bottom w:w="18" w:type="dxa"/>
              <w:end w:w="16" w:type="dxa"/>
            </w:tcMar>
            <w:shd w:val="clear" w:color="auto" w:fill="FFFFFF"/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Pulses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Mean midpoint pulses above 1000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4.74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44AA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0.2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62%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0.8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Pulses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Mean midpoint pulses above 250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4.81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2288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44AA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21%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0.063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Pulses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Mean offset pulses above 1000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4.78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44AA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0.2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62%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0.8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Pulses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Mean offset pulses above 250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4.87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332288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44AA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2288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44AA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44AA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0.7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0.043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Pulses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Mean onset pulses above 1000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4.71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44AA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0.12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63%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0.9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Pulses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Mean onset pulses above 250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4.74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2288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44AA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0.2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70%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0.3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19%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vMerge w:val="restart"/>
            <w:tcW w:w="1094" w:type="dxa"/>
            <w:vAlign w:val="center"/>
            <w:tcMar>
              <w:top w:w="18" w:type="dxa"/>
              <w:start w:w="16" w:type="dxa"/>
              <w:bottom w:w="18" w:type="dxa"/>
              <w:end w:w="16" w:type="dxa"/>
            </w:tcMar>
            <w:shd w:val="clear" w:color="auto" w:fill="FFFFFF"/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Timing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Mean timing above 10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5.20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-1%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0.14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±6%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54%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&gt;0.9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Timing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Mean timing above 1000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4.80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0.5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±8%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41%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50%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0.10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&gt;0.9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vMerge w:val="continue"/>
            <w:tcW w:w="1094" w:type="dx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Timing crossing threshold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Mean timing above 250 lx melEDI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4.82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+2%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0.5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37%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±9%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51%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0.007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&gt;0.9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12%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094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Midpoint cumulative exposure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436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Midpoint CE</w:t>
            </w:r>
          </w:p>
        </w:tc>
        <w:tc>
          <w:tcPr>
            <w:tcBorders>
              <w:top w:val="nil"/>
              <w:bottom w:val="single" w:sz="3" w:space="0" w:color="D9D9D9"/>
              <w:start w:val="single" w:sz="3" w:space="0" w:color="D9D9D9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linear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1541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4.81 × 10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20"/>
                <w:vertAlign w:val="superscript"/>
              </w:rPr>
              <w:t>4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CC66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AA4499"/>
                <w:sz w:val="21"/>
              </w:rPr>
              <w:t>↓</w:t>
            </w:r>
            <w:r>
              <w:rPr>
                <w:rFonts w:ascii="Arial" w:hAnsi="Arial" w:eastAsia="Arial"/>
                <w:b/>
                <w:i w:val="0"/>
                <w:color w:val="DDCC77"/>
                <w:sz w:val="21"/>
              </w:rPr>
              <w:t>↑</w:t>
            </w:r>
            <w:r>
              <w:rPr>
                <w:rFonts w:ascii="Arial" w:hAnsi="Arial" w:eastAsia="Arial"/>
                <w:b/>
                <w:i w:val="0"/>
                <w:color w:val="44AA99"/>
                <w:sz w:val="21"/>
              </w:rPr>
              <w:t>↓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49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06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+0%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0.8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0%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±5%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778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93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±13%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74%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  <w:b/>
              </w:rPr>
              <w:t xml:space="default">&lt;0.001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&gt;0.9</w:t>
            </w:r>
          </w:p>
        </w:tc>
        <w:tc>
          <w:tcPr>
            <w:tcBorders>
              <w:top w:val="nil"/>
              <w:bottom w:val="single" w:sz="3" w:space="0" w:color="D9D9D9"/>
              <w:start w:val="nil"/>
              <w:end w:val="nil"/>
            </w:tcBorders>
            <w:tcW w:w="835" w:type="dxa"/>
            <w:vAlign w:val="center"/>
            <w:shd w:val="clear" w:color="auto" w:fill="FFFFFF"/>
            <w:tcMar>
              <w:top w:w="18" w:type="dxa"/>
              <w:start w:w="16" w:type="dxa"/>
              <w:bottom w:w="18" w:type="dxa"/>
              <w:end w:w="16" w:type="dxa"/>
            </w:tcMar>
          </w:tcPr>
          <w:p>
            <w:pPr>
              <w:spacing w:before="0" w:after="0" w:line="228" w:lineRule="auto"/>
              <w:keepNext w:val="0"/>
              <w:jc w:val="right"/>
            </w:pPr>
            <w:r>
              <w:rPr>
                <w:rFonts w:ascii="Arial" w:hAnsi="Arial" w:eastAsia="Arial"/>
                <w:i w:val="0"/>
                <w:color w:val="333333"/>
                <w:sz w:val="20"/>
              </w:rPr>
              <w:t xml:space="default">12%</w:t>
            </w:r>
          </w:p>
        </w:tc>
      </w:tr>
      <w:tr>
        <w:trPr>
          <w:cantSplit/>
        </w:trPr>
        <w:tc>
          <w:tcPr>
            <w:gridSpan w:val="23"/>
            <w:tcW w:w="23013" w:type="dxa"/>
            <w:vAlign w:val="center"/>
            <w:tcBorders>
              <w:top w:val="single" w:sz="6" w:space="0" w:color="D9D9D9"/>
              <w:bottom w:val="nil"/>
              <w:start w:val="nil"/>
              <w:end w:val="nil"/>
            </w:tcBorders>
            <w:shd w:val="clear" w:color="auto" w:fill="FFFFFF"/>
            <w:tcMar>
              <w:top w:w="16" w:type="dxa"/>
              <w:start w:w="20" w:type="dxa"/>
              <w:bottom w:w="14" w:type="dxa"/>
              <w:end w:w="20" w:type="dxa"/>
            </w:tcMar>
          </w:tcPr>
          <w:p>
            <w:pPr>
              <w:keepNext w:val="0"/>
              <w:spacing w:before="0" w:after="0" w:line="228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17"/>
                <w:vertAlign w:val="superscript"/>
              </w:rPr>
              <w:t>1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7"/>
              </w:rPr>
              <w:t>Missing entries refer to models that had to be reduced in complexity to avoid convergence/singularity issues.</w:t>
            </w:r>
          </w:p>
        </w:tc>
      </w:tr>
      <w:tr>
        <w:trPr>
          <w:cantSplit/>
        </w:trPr>
        <w:tc>
          <w:tcPr>
            <w:gridSpan w:val="23"/>
            <w:tcW w:w="23013" w:type="dxa"/>
            <w:vAlign w:val="center"/>
            <w:tcBorders>
              <w:top w:val="nil"/>
              <w:bottom w:val="nil"/>
              <w:start w:val="nil"/>
              <w:end w:val="nil"/>
            </w:tcBorders>
            <w:shd w:val="clear" w:color="auto" w:fill="FFFFFF"/>
            <w:tcMar>
              <w:top w:w="16" w:type="dxa"/>
              <w:start w:w="20" w:type="dxa"/>
              <w:bottom w:w="14" w:type="dxa"/>
              <w:end w:w="20" w:type="dxa"/>
            </w:tcMar>
          </w:tcPr>
          <w:p>
            <w:pPr>
              <w:keepNext w:val="0"/>
              <w:spacing w:before="0" w:after="0" w:line="228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17"/>
                <w:vertAlign w:val="superscript"/>
              </w:rPr>
              <w:t>2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7"/>
              </w:rPr>
              <w:t>Scale on which the glasses reference and subsequent deviations (chest/wrist contrasts, site, random effects) are analyzed</w:t>
            </w:r>
          </w:p>
        </w:tc>
      </w:tr>
      <w:tr>
        <w:trPr>
          <w:cantSplit/>
        </w:trPr>
        <w:tc>
          <w:tcPr>
            <w:gridSpan w:val="23"/>
            <w:tcW w:w="23013" w:type="dxa"/>
            <w:vAlign w:val="center"/>
            <w:tcBorders>
              <w:top w:val="nil"/>
              <w:bottom w:val="nil"/>
              <w:start w:val="nil"/>
              <w:end w:val="nil"/>
            </w:tcBorders>
            <w:shd w:val="clear" w:color="auto" w:fill="FFFFFF"/>
            <w:tcMar>
              <w:top w:w="16" w:type="dxa"/>
              <w:start w:w="20" w:type="dxa"/>
              <w:bottom w:w="14" w:type="dxa"/>
              <w:end w:w="20" w:type="dxa"/>
            </w:tcMar>
          </w:tcPr>
          <w:p>
            <w:pPr>
              <w:keepNext w:val="0"/>
              <w:spacing w:before="0" w:after="0" w:line="228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17"/>
                <w:vertAlign w:val="superscript"/>
              </w:rPr>
              <w:t>3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7"/>
              </w:rPr>
              <w:t xml:space="preserve">Colored arrows indicate significant site-specific deviations above (↑) or below (↓) the column value. Arrow color by site: </w:t>
            </w:r>
            <w:r>
              <w:rPr>
                <w:rFonts w:ascii="Arial" w:hAnsi="Arial" w:eastAsia="Arial"/>
                <w:b/>
                <w:i w:val="0"/>
                <w:color w:val="CC6677"/>
                <w:sz w:val="17"/>
              </w:rPr>
              <w:t>Dortmund (DE)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7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color w:val="332288"/>
                <w:sz w:val="17"/>
              </w:rPr>
              <w:t>Madrid (ES)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7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color w:val="88CCEE"/>
                <w:sz w:val="17"/>
              </w:rPr>
              <w:t>Izmir (TR)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7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color w:val="AA4499"/>
                <w:sz w:val="17"/>
              </w:rPr>
              <w:t>Kumasi (GH)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7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color w:val="DDCC77"/>
                <w:sz w:val="17"/>
              </w:rPr>
              <w:t>Borås (SE)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7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color w:val="117733"/>
                <w:sz w:val="17"/>
              </w:rPr>
              <w:t>Delft (NL)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7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color w:val="999933"/>
                <w:sz w:val="17"/>
              </w:rPr>
              <w:t>Munich (DE)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7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color w:val="44AA99"/>
                <w:sz w:val="17"/>
              </w:rPr>
              <w:t>San Pedro, San José (CR)</w:t>
            </w:r>
          </w:p>
        </w:tc>
      </w:tr>
      <w:tr>
        <w:trPr>
          <w:cantSplit/>
        </w:trPr>
        <w:tc>
          <w:tcPr>
            <w:gridSpan w:val="23"/>
            <w:tcW w:w="23013" w:type="dxa"/>
            <w:vAlign w:val="center"/>
            <w:tcBorders>
              <w:top w:val="nil"/>
              <w:bottom w:val="nil"/>
              <w:start w:val="nil"/>
              <w:end w:val="nil"/>
            </w:tcBorders>
            <w:shd w:val="clear" w:color="auto" w:fill="FFFFFF"/>
            <w:tcMar>
              <w:top w:w="16" w:type="dxa"/>
              <w:start w:w="20" w:type="dxa"/>
              <w:bottom w:w="14" w:type="dxa"/>
              <w:end w:w="20" w:type="dxa"/>
            </w:tcMar>
          </w:tcPr>
          <w:p>
            <w:pPr>
              <w:keepNext w:val="0"/>
              <w:spacing w:before="0" w:after="0" w:line="228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17"/>
                <w:vertAlign w:val="superscript"/>
              </w:rPr>
              <w:t>4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7"/>
              </w:rPr>
              <w:t>Timing effects and timing-model SDs use the grand mean diary-defined wake duration (15 h 44 min; 1% = 9.4 min) for brightness-based timing metrics and the grand mean diary-defined sleep duration (8 h 16 min; 1% = 5.0 min) for darkness-based timing metrics. All other metrics use the absolute glasses reference on the modelling scale.</w:t>
            </w:r>
          </w:p>
        </w:tc>
      </w:tr>
      <w:tr>
        <w:trPr>
          <w:cantSplit/>
        </w:trPr>
        <w:tc>
          <w:tcPr>
            <w:gridSpan w:val="23"/>
            <w:tcW w:w="23013" w:type="dxa"/>
            <w:vAlign w:val="center"/>
            <w:tcBorders>
              <w:top w:val="nil"/>
              <w:bottom w:val="nil"/>
              <w:start w:val="nil"/>
              <w:end w:val="nil"/>
            </w:tcBorders>
            <w:shd w:val="clear" w:color="auto" w:fill="FFFFFF"/>
            <w:tcMar>
              <w:top w:w="16" w:type="dxa"/>
              <w:start w:w="20" w:type="dxa"/>
              <w:bottom w:w="14" w:type="dxa"/>
              <w:end w:w="20" w:type="dxa"/>
            </w:tcMar>
          </w:tcPr>
          <w:p>
            <w:pPr>
              <w:keepNext w:val="0"/>
              <w:spacing w:before="0" w:after="0" w:line="228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17"/>
                <w:vertAlign w:val="superscript"/>
              </w:rPr>
              <w:t>5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7"/>
              </w:rPr>
              <w:t>No overall p-value correction has been performed, so as not to potentially underestimate individual metric deviations.</w:t>
            </w:r>
          </w:p>
        </w:tc>
      </w:tr>
      <w:tr>
        <w:trPr>
          <w:cantSplit/>
        </w:trPr>
        <w:tc>
          <w:tcPr>
            <w:gridSpan w:val="23"/>
            <w:tcW w:w="23013" w:type="dxa"/>
            <w:vAlign w:val="center"/>
            <w:tcBorders>
              <w:top w:val="nil"/>
              <w:bottom w:val="single" w:sz="7" w:space="0" w:color="A6A6A6"/>
              <w:start w:val="nil"/>
              <w:end w:val="nil"/>
            </w:tcBorders>
            <w:shd w:val="clear" w:color="auto" w:fill="FFFFFF"/>
            <w:tcMar>
              <w:top w:w="16" w:type="dxa"/>
              <w:start w:w="20" w:type="dxa"/>
              <w:bottom w:w="14" w:type="dxa"/>
              <w:end w:w="20" w:type="dxa"/>
            </w:tcMar>
          </w:tcPr>
          <w:p>
            <w:pPr>
              <w:keepNext w:val="0"/>
              <w:spacing w:before="0" w:after="0" w:line="228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17"/>
                <w:vertAlign w:val="superscript"/>
              </w:rPr>
              <w:t>6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7"/>
              </w:rPr>
              <w:t>Partial R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7"/>
                <w:vertAlign w:val="superscript"/>
              </w:rPr>
              <w:t>2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7"/>
              </w:rPr>
              <w:t xml:space="preserve"> values compare the effect model with a model without that effect. Values within a row do not sum to one because they come from different models and partially correlated components.</w:t>
            </w:r>
          </w:p>
        </w:tc>
      </w:tr>
    </w:tbl>
    <w:p>
      <w:pPr>
        <w:pStyle w:val="FirstParagraph"/>
        <w:keepNext w:val="0"/>
        <w:spacing w:before="0" w:after="0" w:line="240" w:lineRule="auto"/>
        <w:jc w:val="left"/>
      </w:pPr>
    </w:p>
    <w:sectPr>
      <w:footnotePr>
        <w:numRestart w:val="eachSect"/>
      </w:footnotePr>
      <w:pgSz w:orient="landscape" w:w="23811" w:h="16838"/>
      <w:pgMar w:top="288" w:bottom="288" w:left="288" w:right="288" w:header="144" w:footer="14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2026-08-12T08:05:13Z</dcterms:created>
  <dcterms:modified xsi:type="dcterms:W3CDTF">2026-08-12T08:05:13Z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