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 w:lineRule="auto"/>
        <w:keepNext/>
        <w:jc w:val="center"/>
        <w:pBdr>
          <w:top w:val="single" w:sz="8" w:space="4" w:color="A6A6A6"/>
        </w:pBdr>
      </w:pPr>
      <w:r>
        <w:rPr>
          <w:rFonts w:ascii="Arial" w:hAnsi="Arial" w:eastAsia="Arial"/>
          <w:b w:val="0"/>
          <w:i w:val="0"/>
          <w:color w:val="333333"/>
          <w:sz w:val="27"/>
        </w:rPr>
        <w:t>Summary overview of outcome-level bias</w:t>
      </w:r>
    </w:p>
    <w:p>
      <w:pPr>
        <w:spacing w:before="0" w:after="8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27"/>
        </w:rPr>
        <w:t>for body-worn versus eye-level measurement</w:t>
      </w:r>
    </w:p>
    <w:p>
      <w:pPr>
        <w:spacing w:before="0" w:after="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Sensitivity analysis: documented non-wear retained; diary-defined sleep retained</w:t>
      </w:r>
    </w:p>
    <w:p>
      <w:pPr>
        <w:spacing w:before="0" w:after="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Timing metrics use mean wake/sleep durations;</w:t>
      </w:r>
    </w:p>
    <w:p>
      <w:pPr>
        <w:spacing w:before="0" w:after="100" w:line="240" w:lineRule="auto"/>
        <w:keepNext/>
        <w:jc w:val="center"/>
      </w:pPr>
      <w:r>
        <w:rPr>
          <w:rFonts w:ascii="Arial" w:hAnsi="Arial" w:eastAsia="Arial"/>
          <w:b w:val="0"/>
          <w:i w:val="0"/>
          <w:color w:val="333333"/>
          <w:sz w:val="19"/>
        </w:rPr>
        <w:t>other metrics to the absolute glasses reference.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jc w:val="center"/>
        <w:tblLayout w:type="fixed"/>
        <w:tblCellMar>
          <w:top w:w="0" w:type="dxa"/>
          <w:bottom w:w="0" w:type="dxa"/>
          <w:start w:w="60" w:type="dxa"/>
          <w:end w:w="60" w:type="dxa"/>
        </w:tblCellMar>
        <w:tblW w:type="dxa" w:w="10930"/>
        <w:tblInd w:w="0" w:type="dxa"/>
      </w:tblPr>
      <w:tblGrid>
        <w:gridCol w:w="2448"/>
        <w:gridCol w:w="2765"/>
        <w:gridCol w:w="2765"/>
        <w:gridCol w:w="2952"/>
      </w:tblGrid>
      <w:tr>
        <w:trPr>
          <w:cantSplit/>
          <w:tblHeader w:val="true"/>
        </w:trPr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</w:p>
        </w:tc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765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EFC000"/>
                <w:sz w:val="18"/>
              </w:rPr>
              <w:t>Chest</w:t>
            </w:r>
            <w:r>
              <w:rPr>
                <w:rFonts w:ascii="Arial" w:hAnsi="Arial" w:eastAsia="Arial"/>
                <w:b/>
                <w:i w:val="0"/>
                <w:color w:val="EFC000"/>
                <w:sz w:val="18"/>
                <w:vertAlign w:val="superscript"/>
              </w:rPr>
              <w:t>1</w:t>
            </w:r>
          </w:p>
        </w:tc>
        <w:tc>
          <w:tcPr>
            <w:tcBorders>
              <w:top w:val="nil"/>
              <w:bottom w:val="single" w:sz="8" w:space="0" w:color="D9D9D9"/>
              <w:start w:val="nil"/>
              <w:end w:val="nil"/>
            </w:tcBorders>
            <w:tcW w:w="2765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868686"/>
                <w:sz w:val="18"/>
              </w:rPr>
              <w:t>Wrist</w:t>
            </w:r>
            <w:r>
              <w:rPr>
                <w:rFonts w:ascii="Arial" w:hAnsi="Arial" w:eastAsia="Arial"/>
                <w:b/>
                <w:i w:val="0"/>
                <w:color w:val="868686"/>
                <w:sz w:val="18"/>
                <w:vertAlign w:val="superscript"/>
              </w:rPr>
              <w:t>1</w:t>
            </w:r>
          </w:p>
        </w:tc>
        <w:tc>
          <w:tcPr>
            <w:tcBorders>
              <w:top w:val="nil"/>
              <w:bottom w:val="single" w:sz="8" w:space="0" w:color="D9D9D9"/>
              <w:end w:val="nil"/>
              <w:start w:val="nil"/>
            </w:tcBorders>
            <w:tcW w:w="2952" w:type="dxa"/>
            <w:vAlign w:val="center"/>
            <w:shd w:val="clear" w:color="auto" w:fill="FFFFFF"/>
            <w:tcMar>
              <w:top w:w="40" w:type="dxa"/>
              <w:start w:w="55" w:type="dxa"/>
              <w:bottom w:w="40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8"/>
              </w:rPr>
              <w:t>General</w:t>
            </w:r>
            <w:r>
              <w:rPr>
                <w:rFonts w:ascii="Arial" w:hAnsi="Arial" w:eastAsia="Arial"/>
                <w:b/>
                <w:i w:val="0"/>
                <w:color w:val="333333"/>
                <w:sz w:val="18"/>
                <w:vertAlign w:val="superscript"/>
              </w:rPr>
              <w:t>1,2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Duration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4/12,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+4/-8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6/12,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+3/-9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(1%–7%)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25% (15%–37%)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±6% (2–20%)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Exposure history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2%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- 3%)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0/2,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+2/-0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---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30% (25%–36%)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±21% (10–31%)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Level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3%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- 19%)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5/9,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+3/-6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7%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- 33%)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7/9,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+2/-7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(1%–4%)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30% (20%–36%)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±22% (4–71%)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Spectrum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0/1,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+0/-1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5%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(5% - 5%)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1/1,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+0/-1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(2%–2%)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36% (36%–36%)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±11% (11–11%)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Temporal dynamics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6%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- 18%)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4/7,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+6/-1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(6% - 57%)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7/7,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+6/-1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2% (1%–16%)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53% (19%–68%)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±32% (11–53%)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Timing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DF9E6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0%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- 2%)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1/23,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+20/-3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F3F3F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- 4%)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7/23,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+21/-2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1% (0%–1%)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19% (12%–28%)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±6% (4–12%)</w:t>
            </w:r>
          </w:p>
        </w:tc>
      </w:tr>
      <w:tr>
        <w:trPr>
          <w:cantSplit/>
        </w:trPr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Overall</w:t>
            </w:r>
          </w:p>
        </w:tc>
        <w:tc>
          <w:tcPr>
            <w:tcBorders>
              <w:top w:val="single" w:sz="14" w:space="0" w:color="000000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7DF80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1%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- 19%)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14/54,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+35/-19</w:t>
            </w:r>
          </w:p>
        </w:tc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C3C3C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2%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- 57%)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 xml:space="preserve">signif: 28/54, 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+34/-20</w:t>
            </w:r>
          </w:p>
        </w:tc>
        <w:tc>
          <w:tcPr>
            <w:tcBorders>
              <w:top w:val="single" w:sz="14" w:space="0" w:color="000000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1% (0%–16%)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23% (12%–68%)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±8% (2–71%)</w:t>
            </w:r>
          </w:p>
        </w:tc>
      </w:tr>
      <w:tr>
        <w:trPr>
          <w:cantSplit/>
        </w:trPr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448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Overall (significant)</w:t>
            </w:r>
          </w:p>
        </w:tc>
        <w:tc>
          <w:tcPr>
            <w:tcBorders>
              <w:top w:val="single" w:sz="5" w:space="0" w:color="D9D9D9"/>
              <w:bottom w:val="nil"/>
              <w:start w:val="single" w:sz="5" w:space="0" w:color="D9D9D9"/>
              <w:end w:val="nil"/>
            </w:tcBorders>
            <w:tcW w:w="2765" w:type="dxa"/>
            <w:vAlign w:val="center"/>
            <w:shd w:val="clear" w:color="auto" w:fill="F7DF80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5%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(0% - 19%)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+7/-7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765" w:type="dxa"/>
            <w:vAlign w:val="center"/>
            <w:shd w:val="clear" w:color="auto" w:fill="C3C3C3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righ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bias: 4%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(1% - 57%)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>direction: +13/-15</w:t>
            </w:r>
          </w:p>
        </w:tc>
        <w:tc>
          <w:tcPr>
            <w:tcBorders>
              <w:top w:val="single" w:sz="5" w:space="0" w:color="D9D9D9"/>
              <w:bottom w:val="nil"/>
              <w:start w:val="nil"/>
              <w:end w:val="nil"/>
            </w:tcBorders>
            <w:tcW w:w="2952" w:type="dxa"/>
            <w:vAlign w:val="center"/>
            <w:shd w:val="clear" w:color="auto" w:fill="FFFFFF"/>
            <w:tcMar>
              <w:top w:w="44" w:type="dxa"/>
              <w:start w:w="55" w:type="dxa"/>
              <w:bottom w:w="44" w:type="dxa"/>
              <w:end w:w="55" w:type="dxa"/>
            </w:tcMar>
          </w:tcPr>
          <w:p>
            <w:pPr>
              <w:keepNext w:val="0"/>
              <w:spacing w:before="0" w:after="0" w:line="240" w:lineRule="auto"/>
              <w:jc w:val="left"/>
            </w:pPr>
            <w:r/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Pos.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1% (0%–16%)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R²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23% (12%–68%)</w:t>
            </w:r>
            <w:r>
              <w:br/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SD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  <w:vertAlign w:val="subscript"/>
              </w:rPr>
              <w:t>Id</w:t>
            </w:r>
            <w:r>
              <w:rPr>
                <w:rFonts w:ascii="Arial" w:hAnsi="Arial" w:eastAsia="Arial"/>
                <w:b/>
                <w:i w:val="0"/>
                <w:color w:val="333333"/>
                <w:sz w:val="16"/>
              </w:rPr>
              <w:t>: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6"/>
              </w:rPr>
              <w:t xml:space="preserve"> ±8% (2–71%)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single" w:sz="6" w:space="0" w:color="D9D9D9"/>
              <w:bottom w:val="nil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median bias (min - max), significant bias / all metrics, positive / negative deviations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nil"/>
              <w:bottom w:val="nil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1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Timing effects and timing-model SDs use the grand mean diary-defined wake duration (15 h 45 min; 1% = 9.4 min) for brightness-based timing metrics and the grand mean diary-defined sleep duration (8 h 15 min; 1% = 5.0 min) for darkness-based timing metrics. All other metrics use the absolute glasses reference on the modelling scale. Overall rows combine these normalization bases.</w:t>
            </w:r>
          </w:p>
        </w:tc>
      </w:tr>
      <w:tr>
        <w:trPr>
          <w:cantSplit/>
        </w:trPr>
        <w:tc>
          <w:tcPr>
            <w:gridSpan w:val="4"/>
            <w:tcW w:w="10930" w:type="dxa"/>
            <w:vAlign w:val="center"/>
            <w:tcBorders>
              <w:top w:val="nil"/>
              <w:bottom w:val="single" w:sz="8" w:space="0" w:color="A6A6A6"/>
              <w:start w:val="nil"/>
              <w:end w:val="nil"/>
            </w:tcBorders>
            <w:shd w:val="clear" w:color="auto" w:fill="FFFFFF"/>
            <w:tcMar>
              <w:top w:w="22" w:type="dxa"/>
              <w:start w:w="45" w:type="dxa"/>
              <w:bottom w:w="20" w:type="dxa"/>
              <w:end w:w="45" w:type="dxa"/>
            </w:tcMar>
          </w:tcPr>
          <w:p>
            <w:pPr>
              <w:keepNext w:val="0"/>
              <w:spacing w:before="0" w:after="0" w:line="228" w:lineRule="auto"/>
              <w:jc w:val="left"/>
            </w:pPr>
            <w:r/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Pos.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: partial R² for the specific position effect (glasses, chest, or wrist; median min–max), significant metrics only. R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perscript"/>
              </w:rPr>
              <w:t>2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Id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 xml:space="preserve"> and SD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  <w:vertAlign w:val="subscript"/>
              </w:rPr>
              <w:t>Id</w:t>
            </w:r>
            <w:r>
              <w:rPr>
                <w:rFonts w:ascii="Arial" w:hAnsi="Arial" w:eastAsia="Arial"/>
                <w:b w:val="0"/>
                <w:i w:val="0"/>
                <w:color w:val="333333"/>
                <w:sz w:val="14"/>
              </w:rPr>
              <w:t>: individual ID random effect, all metrics.</w:t>
            </w:r>
          </w:p>
        </w:tc>
      </w:tr>
    </w:tbl>
    <w:p>
      <w:pPr>
        <w:pStyle w:val="FirstParagraph"/>
        <w:keepNext w:val="0"/>
        <w:spacing w:before="0" w:after="0" w:line="240" w:lineRule="auto"/>
        <w:jc w:val="left"/>
      </w:pPr>
    </w:p>
    <w:sectPr>
      <w:footnotePr>
        <w:numRestart w:val="eachSect"/>
      </w:footnotePr>
      <w:pgSz w:w="11906" w:h="16838"/>
      <w:pgMar w:top="461" w:bottom="461" w:left="461" w:right="461" w:header="144" w:footer="14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18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2026-08-12T07:34:08Z</dcterms:created>
  <dcterms:modified xsi:type="dcterms:W3CDTF">2026-08-12T07:34:08Z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