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40" w:lineRule="auto"/>
        <w:keepNext/>
        <w:jc w:val="center"/>
        <w:pBdr>
          <w:top w:val="single" w:sz="8" w:space="4" w:color="A6A6A6"/>
        </w:pBdr>
      </w:pPr>
      <w:r>
        <w:rPr>
          <w:rFonts w:ascii="Arial" w:hAnsi="Arial" w:eastAsia="Arial"/>
          <w:b w:val="0"/>
          <w:i w:val="0"/>
          <w:color w:val="333333"/>
          <w:sz w:val="27"/>
        </w:rPr>
        <w:t>Summary overview of outcome-level bias</w:t>
      </w:r>
    </w:p>
    <w:p>
      <w:pPr>
        <w:spacing w:before="0" w:after="80" w:line="240" w:lineRule="auto"/>
        <w:keepNext/>
        <w:jc w:val="center"/>
      </w:pPr>
      <w:r>
        <w:rPr>
          <w:rFonts w:ascii="Arial" w:hAnsi="Arial" w:eastAsia="Arial"/>
          <w:b w:val="0"/>
          <w:i w:val="0"/>
          <w:color w:val="333333"/>
          <w:sz w:val="27"/>
        </w:rPr>
        <w:t>for body-worn versus eye-level measurement</w:t>
      </w:r>
    </w:p>
    <w:p>
      <w:pPr>
        <w:spacing w:before="0" w:after="0" w:line="240" w:lineRule="auto"/>
        <w:keepNext/>
        <w:jc w:val="center"/>
      </w:pPr>
      <w:r>
        <w:rPr>
          <w:rFonts w:ascii="Arial" w:hAnsi="Arial" w:eastAsia="Arial"/>
          <w:b w:val="0"/>
          <w:i w:val="0"/>
          <w:color w:val="333333"/>
          <w:sz w:val="19"/>
        </w:rPr>
        <w:t>Sensitivity analysis: documented non-wear and diary-defined sleep removed</w:t>
      </w:r>
    </w:p>
    <w:p>
      <w:pPr>
        <w:spacing w:before="0" w:after="0" w:line="240" w:lineRule="auto"/>
        <w:keepNext/>
        <w:jc w:val="center"/>
      </w:pPr>
      <w:r>
        <w:rPr>
          <w:rFonts w:ascii="Arial" w:hAnsi="Arial" w:eastAsia="Arial"/>
          <w:b w:val="0"/>
          <w:i w:val="0"/>
          <w:color w:val="333333"/>
          <w:sz w:val="19"/>
        </w:rPr>
        <w:t>Timing metrics use mean wake/sleep durations;</w:t>
      </w:r>
    </w:p>
    <w:p>
      <w:pPr>
        <w:spacing w:before="0" w:after="100" w:line="240" w:lineRule="auto"/>
        <w:keepNext/>
        <w:jc w:val="center"/>
      </w:pPr>
      <w:r>
        <w:rPr>
          <w:rFonts w:ascii="Arial" w:hAnsi="Arial" w:eastAsia="Arial"/>
          <w:b w:val="0"/>
          <w:i w:val="0"/>
          <w:color w:val="333333"/>
          <w:sz w:val="19"/>
        </w:rPr>
        <w:t>other metrics to the absolute glasses reference.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jc w:val="center"/>
        <w:tblLayout w:type="fixed"/>
        <w:tblCellMar>
          <w:top w:w="0" w:type="dxa"/>
          <w:bottom w:w="0" w:type="dxa"/>
          <w:start w:w="60" w:type="dxa"/>
          <w:end w:w="60" w:type="dxa"/>
        </w:tblCellMar>
        <w:tblW w:type="dxa" w:w="10930"/>
        <w:tblInd w:w="0" w:type="dxa"/>
      </w:tblPr>
      <w:tblGrid>
        <w:gridCol w:w="2448"/>
        <w:gridCol w:w="2765"/>
        <w:gridCol w:w="2765"/>
        <w:gridCol w:w="2952"/>
      </w:tblGrid>
      <w:tr>
        <w:trPr>
          <w:cantSplit/>
          <w:tblHeader w:val="true"/>
        </w:trPr>
        <w:tc>
          <w:tcPr>
            <w:tcBorders>
              <w:top w:val="nil"/>
              <w:bottom w:val="single" w:sz="8" w:space="0" w:color="D9D9D9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8" w:space="0" w:color="D9D9D9"/>
              <w:start w:val="nil"/>
              <w:end w:val="nil"/>
            </w:tcBorders>
            <w:tcW w:w="2765" w:type="dxa"/>
            <w:vAlign w:val="center"/>
            <w:shd w:val="clear" w:color="auto" w:fill="FFFFFF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EFC000"/>
                <w:sz w:val="18"/>
              </w:rPr>
              <w:t>Chest</w:t>
            </w:r>
            <w:r>
              <w:rPr>
                <w:rFonts w:ascii="Arial" w:hAnsi="Arial" w:eastAsia="Arial"/>
                <w:b/>
                <w:i w:val="0"/>
                <w:color w:val="EFC000"/>
                <w:sz w:val="18"/>
                <w:vertAlign w:val="superscript"/>
              </w:rPr>
              <w:t>1</w:t>
            </w:r>
          </w:p>
        </w:tc>
        <w:tc>
          <w:tcPr>
            <w:tcBorders>
              <w:top w:val="nil"/>
              <w:bottom w:val="single" w:sz="8" w:space="0" w:color="D9D9D9"/>
              <w:start w:val="nil"/>
              <w:end w:val="nil"/>
            </w:tcBorders>
            <w:tcW w:w="2765" w:type="dxa"/>
            <w:vAlign w:val="center"/>
            <w:shd w:val="clear" w:color="auto" w:fill="FFFFFF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868686"/>
                <w:sz w:val="18"/>
              </w:rPr>
              <w:t>Wrist</w:t>
            </w:r>
            <w:r>
              <w:rPr>
                <w:rFonts w:ascii="Arial" w:hAnsi="Arial" w:eastAsia="Arial"/>
                <w:b/>
                <w:i w:val="0"/>
                <w:color w:val="868686"/>
                <w:sz w:val="18"/>
                <w:vertAlign w:val="superscript"/>
              </w:rPr>
              <w:t>1</w:t>
            </w:r>
          </w:p>
        </w:tc>
        <w:tc>
          <w:tcPr>
            <w:tcBorders>
              <w:top w:val="nil"/>
              <w:bottom w:val="single" w:sz="8" w:space="0" w:color="D9D9D9"/>
              <w:end w:val="nil"/>
              <w:start w:val="nil"/>
            </w:tcBorders>
            <w:tcW w:w="2952" w:type="dxa"/>
            <w:vAlign w:val="center"/>
            <w:shd w:val="clear" w:color="auto" w:fill="FFFFFF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General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perscript"/>
              </w:rPr>
              <w:t>1,2</w:t>
            </w:r>
          </w:p>
        </w:tc>
      </w:tr>
      <w:tr>
        <w:trPr>
          <w:cantSplit/>
        </w:trPr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Duration</w:t>
            </w:r>
          </w:p>
        </w:tc>
        <w:tc>
          <w:tcPr>
            <w:tcBorders>
              <w:top w:val="single" w:sz="5" w:space="0" w:color="D9D9D9"/>
              <w:bottom w:val="nil"/>
              <w:start w:val="single" w:sz="5" w:space="0" w:color="D9D9D9"/>
              <w:end w:val="nil"/>
            </w:tcBorders>
            <w:tcW w:w="2765" w:type="dxa"/>
            <w:vAlign w:val="center"/>
            <w:shd w:val="clear" w:color="auto" w:fill="FDF9E6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1%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(0% - 4%)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4/11,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+3/-8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765" w:type="dxa"/>
            <w:vAlign w:val="center"/>
            <w:shd w:val="clear" w:color="auto" w:fill="F3F3F3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2%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(0% - 8%)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6/11,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+2/-9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952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3% (1%–6%)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23% (16%–38%)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±6% (2–20%)</w:t>
            </w:r>
          </w:p>
        </w:tc>
      </w:tr>
      <w:tr>
        <w:trPr>
          <w:cantSplit/>
        </w:trPr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Exposure history</w:t>
            </w:r>
          </w:p>
        </w:tc>
        <w:tc>
          <w:tcPr>
            <w:tcBorders>
              <w:top w:val="single" w:sz="5" w:space="0" w:color="D9D9D9"/>
              <w:bottom w:val="nil"/>
              <w:start w:val="single" w:sz="5" w:space="0" w:color="D9D9D9"/>
              <w:end w:val="nil"/>
            </w:tcBorders>
            <w:tcW w:w="2765" w:type="dxa"/>
            <w:vAlign w:val="center"/>
            <w:shd w:val="clear" w:color="auto" w:fill="FDF9E6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2%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(2% - 2%)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0/1,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+1/-0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765" w:type="dxa"/>
            <w:vAlign w:val="center"/>
            <w:shd w:val="clear" w:color="auto" w:fill="F3F3F3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0%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(0% - 0%)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0/1,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+1/-0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952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---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26% (26%–26%)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±10% (10–10%)</w:t>
            </w:r>
          </w:p>
        </w:tc>
      </w:tr>
      <w:tr>
        <w:trPr>
          <w:cantSplit/>
        </w:trPr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Level</w:t>
            </w:r>
          </w:p>
        </w:tc>
        <w:tc>
          <w:tcPr>
            <w:tcBorders>
              <w:top w:val="single" w:sz="5" w:space="0" w:color="D9D9D9"/>
              <w:bottom w:val="nil"/>
              <w:start w:val="single" w:sz="5" w:space="0" w:color="D9D9D9"/>
              <w:end w:val="nil"/>
            </w:tcBorders>
            <w:tcW w:w="2765" w:type="dxa"/>
            <w:vAlign w:val="center"/>
            <w:shd w:val="clear" w:color="auto" w:fill="FDF9E6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4%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(1% - 10%)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5/6,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+2/-4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765" w:type="dxa"/>
            <w:vAlign w:val="center"/>
            <w:shd w:val="clear" w:color="auto" w:fill="F3F3F3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6%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(1% - 16%)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4/6,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+2/-4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952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2% (1%–3%)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29% (20%–33%)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±18% (4–27%)</w:t>
            </w:r>
          </w:p>
        </w:tc>
      </w:tr>
      <w:tr>
        <w:trPr>
          <w:cantSplit/>
        </w:trPr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Spectrum</w:t>
            </w:r>
          </w:p>
        </w:tc>
        <w:tc>
          <w:tcPr>
            <w:tcBorders>
              <w:top w:val="single" w:sz="5" w:space="0" w:color="D9D9D9"/>
              <w:bottom w:val="nil"/>
              <w:start w:val="single" w:sz="5" w:space="0" w:color="D9D9D9"/>
              <w:end w:val="nil"/>
            </w:tcBorders>
            <w:tcW w:w="2765" w:type="dxa"/>
            <w:vAlign w:val="center"/>
            <w:shd w:val="clear" w:color="auto" w:fill="FDF9E6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1%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(1% - 1%)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0/1,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+0/-1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765" w:type="dxa"/>
            <w:vAlign w:val="center"/>
            <w:shd w:val="clear" w:color="auto" w:fill="F3F3F3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4%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(4% - 4%)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1/1,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+0/-1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952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2% (2%–2%)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34% (34%–34%)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±11% (11–11%)</w:t>
            </w:r>
          </w:p>
        </w:tc>
      </w:tr>
      <w:tr>
        <w:trPr>
          <w:cantSplit/>
        </w:trPr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Temporal dynamics</w:t>
            </w:r>
          </w:p>
        </w:tc>
        <w:tc>
          <w:tcPr>
            <w:tcBorders>
              <w:top w:val="single" w:sz="5" w:space="0" w:color="D9D9D9"/>
              <w:bottom w:val="nil"/>
              <w:start w:val="single" w:sz="5" w:space="0" w:color="D9D9D9"/>
              <w:end w:val="nil"/>
            </w:tcBorders>
            <w:tcW w:w="2765" w:type="dxa"/>
            <w:vAlign w:val="center"/>
            <w:shd w:val="clear" w:color="auto" w:fill="FDF9E6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4%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(1% - 5%)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1/3,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+3/-0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765" w:type="dxa"/>
            <w:vAlign w:val="center"/>
            <w:shd w:val="clear" w:color="auto" w:fill="F3F3F3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9%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(5% - 9%)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3/3,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+3/-0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952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0% (0%–2%)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55% (53%–68%)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±26% (12–51%)</w:t>
            </w:r>
          </w:p>
        </w:tc>
      </w:tr>
      <w:tr>
        <w:trPr>
          <w:cantSplit/>
        </w:trPr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Timing</w:t>
            </w:r>
          </w:p>
        </w:tc>
        <w:tc>
          <w:tcPr>
            <w:tcBorders>
              <w:top w:val="single" w:sz="5" w:space="0" w:color="D9D9D9"/>
              <w:bottom w:val="nil"/>
              <w:start w:val="single" w:sz="5" w:space="0" w:color="D9D9D9"/>
              <w:end w:val="nil"/>
            </w:tcBorders>
            <w:tcW w:w="2765" w:type="dxa"/>
            <w:vAlign w:val="center"/>
            <w:shd w:val="clear" w:color="auto" w:fill="FDF9E6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1%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(0% - 2%)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1/20,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+16/-4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765" w:type="dxa"/>
            <w:vAlign w:val="center"/>
            <w:shd w:val="clear" w:color="auto" w:fill="F3F3F3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1%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(0% - 2%)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1/20,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+13/-7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952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1% (0%–1%)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19% (11%–28%)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±6% (4–12%)</w:t>
            </w:r>
          </w:p>
        </w:tc>
      </w:tr>
      <w:tr>
        <w:trPr>
          <w:cantSplit/>
        </w:trPr>
        <w:tc>
          <w:tcPr>
            <w:tcBorders>
              <w:top w:val="single" w:sz="14" w:space="0" w:color="000000"/>
              <w:bottom w:val="nil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Overall</w:t>
            </w:r>
          </w:p>
        </w:tc>
        <w:tc>
          <w:tcPr>
            <w:tcBorders>
              <w:top w:val="single" w:sz="14" w:space="0" w:color="000000"/>
              <w:bottom w:val="nil"/>
              <w:start w:val="single" w:sz="5" w:space="0" w:color="D9D9D9"/>
              <w:end w:val="nil"/>
            </w:tcBorders>
            <w:tcW w:w="2765" w:type="dxa"/>
            <w:vAlign w:val="center"/>
            <w:shd w:val="clear" w:color="auto" w:fill="F7DF80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1%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(0% - 10%)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11/42,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+25/-17</w:t>
            </w:r>
          </w:p>
        </w:tc>
        <w:tc>
          <w:tcPr>
            <w:tcBorders>
              <w:top w:val="single" w:sz="14" w:space="0" w:color="000000"/>
              <w:bottom w:val="nil"/>
              <w:start w:val="nil"/>
              <w:end w:val="nil"/>
            </w:tcBorders>
            <w:tcW w:w="2765" w:type="dxa"/>
            <w:vAlign w:val="center"/>
            <w:shd w:val="clear" w:color="auto" w:fill="C3C3C3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1%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(0% - 16%)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15/42,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+21/-21</w:t>
            </w:r>
          </w:p>
        </w:tc>
        <w:tc>
          <w:tcPr>
            <w:tcBorders>
              <w:top w:val="single" w:sz="14" w:space="0" w:color="000000"/>
              <w:bottom w:val="nil"/>
              <w:start w:val="nil"/>
              <w:end w:val="nil"/>
            </w:tcBorders>
            <w:tcW w:w="2952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2% (0%–6%)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22% (11%–68%)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±7% (2–51%)</w:t>
            </w:r>
          </w:p>
        </w:tc>
      </w:tr>
      <w:tr>
        <w:trPr>
          <w:cantSplit/>
        </w:trPr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Overall (significant)</w:t>
            </w:r>
          </w:p>
        </w:tc>
        <w:tc>
          <w:tcPr>
            <w:tcBorders>
              <w:top w:val="single" w:sz="5" w:space="0" w:color="D9D9D9"/>
              <w:bottom w:val="nil"/>
              <w:start w:val="single" w:sz="5" w:space="0" w:color="D9D9D9"/>
              <w:end w:val="nil"/>
            </w:tcBorders>
            <w:tcW w:w="2765" w:type="dxa"/>
            <w:vAlign w:val="center"/>
            <w:shd w:val="clear" w:color="auto" w:fill="F7DF80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3%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(1% - 10%)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+4/-7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765" w:type="dxa"/>
            <w:vAlign w:val="center"/>
            <w:shd w:val="clear" w:color="auto" w:fill="C3C3C3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4%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(1% - 16%)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+5/-10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952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2% (0%–6%)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22% (11%–68%)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±7% (2–51%)</w:t>
            </w:r>
          </w:p>
        </w:tc>
      </w:tr>
      <w:tr>
        <w:trPr>
          <w:cantSplit/>
        </w:trPr>
        <w:tc>
          <w:tcPr>
            <w:gridSpan w:val="4"/>
            <w:tcW w:w="10930" w:type="dxa"/>
            <w:vAlign w:val="center"/>
            <w:tcBorders>
              <w:top w:val="single" w:sz="6" w:space="0" w:color="D9D9D9"/>
              <w:bottom w:val="nil"/>
              <w:start w:val="nil"/>
              <w:end w:val="nil"/>
            </w:tcBorders>
            <w:shd w:val="clear" w:color="auto" w:fill="FFFFFF"/>
            <w:tcMar>
              <w:top w:w="22" w:type="dxa"/>
              <w:start w:w="45" w:type="dxa"/>
              <w:bottom w:w="20" w:type="dxa"/>
              <w:end w:w="45" w:type="dxa"/>
            </w:tcMar>
          </w:tcPr>
          <w:p>
            <w:pPr>
              <w:keepNext w:val="0"/>
              <w:spacing w:before="0" w:after="0" w:line="228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14"/>
              </w:rPr>
              <w:t>median bias (min - max), significant bias / all metrics, positive / negative deviations</w:t>
            </w:r>
          </w:p>
        </w:tc>
      </w:tr>
      <w:tr>
        <w:trPr>
          <w:cantSplit/>
        </w:trPr>
        <w:tc>
          <w:tcPr>
            <w:gridSpan w:val="4"/>
            <w:tcW w:w="10930" w:type="dxa"/>
            <w:vAlign w:val="center"/>
            <w:tcBorders>
              <w:top w:val="nil"/>
              <w:bottom w:val="nil"/>
              <w:start w:val="nil"/>
              <w:end w:val="nil"/>
            </w:tcBorders>
            <w:shd w:val="clear" w:color="auto" w:fill="FFFFFF"/>
            <w:tcMar>
              <w:top w:w="22" w:type="dxa"/>
              <w:start w:w="45" w:type="dxa"/>
              <w:bottom w:w="20" w:type="dxa"/>
              <w:end w:w="45" w:type="dxa"/>
            </w:tcMar>
          </w:tcPr>
          <w:p>
            <w:pPr>
              <w:keepNext w:val="0"/>
              <w:spacing w:before="0" w:after="0" w:line="228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14"/>
                <w:vertAlign w:val="superscript"/>
              </w:rPr>
              <w:t>1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</w:rPr>
              <w:t>Timing effects and timing-model SDs use the grand mean diary-defined wake duration (15 h 44 min; 1% = 9.4 min) for brightness-based timing metrics and the grand mean diary-defined sleep duration (8 h 16 min; 1% = 5.0 min) for darkness-based timing metrics. All other metrics use the absolute glasses reference on the modelling scale. Overall rows combine these normalization bases.</w:t>
            </w:r>
          </w:p>
        </w:tc>
      </w:tr>
      <w:tr>
        <w:trPr>
          <w:cantSplit/>
        </w:trPr>
        <w:tc>
          <w:tcPr>
            <w:gridSpan w:val="4"/>
            <w:tcW w:w="10930" w:type="dxa"/>
            <w:vAlign w:val="center"/>
            <w:tcBorders>
              <w:top w:val="nil"/>
              <w:bottom w:val="single" w:sz="8" w:space="0" w:color="A6A6A6"/>
              <w:start w:val="nil"/>
              <w:end w:val="nil"/>
            </w:tcBorders>
            <w:shd w:val="clear" w:color="auto" w:fill="FFFFFF"/>
            <w:tcMar>
              <w:top w:w="22" w:type="dxa"/>
              <w:start w:w="45" w:type="dxa"/>
              <w:bottom w:w="20" w:type="dxa"/>
              <w:end w:w="45" w:type="dxa"/>
            </w:tcMar>
          </w:tcPr>
          <w:p>
            <w:pPr>
              <w:keepNext w:val="0"/>
              <w:spacing w:before="0" w:after="0" w:line="228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14"/>
                <w:vertAlign w:val="superscript"/>
              </w:rPr>
              <w:t>2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</w:rPr>
              <w:t>R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  <w:vertAlign w:val="superscript"/>
              </w:rPr>
              <w:t>2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  <w:vertAlign w:val="subscript"/>
              </w:rPr>
              <w:t>Pos.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</w:rPr>
              <w:t>: partial R² for the specific position effect (glasses, chest, or wrist; median min–max), significant metrics only. R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  <w:vertAlign w:val="superscript"/>
              </w:rPr>
              <w:t>2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  <w:vertAlign w:val="subscript"/>
              </w:rPr>
              <w:t>Id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</w:rPr>
              <w:t xml:space="preserve"> and SD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  <w:vertAlign w:val="subscript"/>
              </w:rPr>
              <w:t>Id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</w:rPr>
              <w:t>: individual ID random effect, all metrics.</w:t>
            </w:r>
          </w:p>
        </w:tc>
      </w:tr>
    </w:tbl>
    <w:p>
      <w:pPr>
        <w:pStyle w:val="FirstParagraph"/>
        <w:keepNext w:val="0"/>
        <w:spacing w:before="0" w:after="0" w:line="240" w:lineRule="auto"/>
        <w:jc w:val="left"/>
      </w:pPr>
    </w:p>
    <w:sectPr>
      <w:footnotePr>
        <w:numRestart w:val="eachSect"/>
      </w:footnotePr>
      <w:pgSz w:w="11906" w:h="16838"/>
      <w:pgMar w:top="461" w:bottom="461" w:left="461" w:right="461" w:header="144" w:footer="14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2026-08-12T07:35:59Z</dcterms:created>
  <dcterms:modified xsi:type="dcterms:W3CDTF">2026-08-12T07:35:59Z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