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0" w:line="240" w:lineRule="auto"/>
        <w:keepNext/>
        <w:jc w:val="center"/>
        <w:pBdr>
          <w:top w:val="single" w:sz="8" w:space="4" w:color="A6A6A6"/>
        </w:pBdr>
      </w:pPr>
      <w:r>
        <w:rPr>
          <w:rFonts w:ascii="Arial" w:hAnsi="Arial" w:eastAsia="Arial"/>
          <w:b w:val="0"/>
          <w:i w:val="0"/>
          <w:color w:val="333333"/>
          <w:sz w:val="27"/>
        </w:rPr>
        <w:t>Summary overview of outcome-level bias</w:t>
      </w:r>
    </w:p>
    <w:p>
      <w:pPr>
        <w:spacing w:before="0" w:after="80" w:line="240" w:lineRule="auto"/>
        <w:keepNext/>
        <w:jc w:val="center"/>
      </w:pPr>
      <w:r>
        <w:rPr>
          <w:rFonts w:ascii="Arial" w:hAnsi="Arial" w:eastAsia="Arial"/>
          <w:b w:val="0"/>
          <w:i w:val="0"/>
          <w:color w:val="333333"/>
          <w:sz w:val="27"/>
        </w:rPr>
        <w:t>for body-worn versus eye-level measurement</w:t>
      </w:r>
    </w:p>
    <w:p>
      <w:pPr>
        <w:spacing w:before="0" w:after="0" w:line="240" w:lineRule="auto"/>
        <w:keepNext/>
        <w:jc w:val="center"/>
      </w:pPr>
      <w:r>
        <w:rPr>
          <w:rFonts w:ascii="Arial" w:hAnsi="Arial" w:eastAsia="Arial"/>
          <w:b w:val="0"/>
          <w:i w:val="0"/>
          <w:color w:val="333333"/>
          <w:sz w:val="19"/>
        </w:rPr>
        <w:t>Primary analysis: documented non-wear removed; diary-defined sleep retained</w:t>
      </w:r>
    </w:p>
    <w:p>
      <w:pPr>
        <w:spacing w:before="0" w:after="0" w:line="240" w:lineRule="auto"/>
        <w:keepNext/>
        <w:jc w:val="center"/>
      </w:pPr>
      <w:r>
        <w:rPr>
          <w:rFonts w:ascii="Arial" w:hAnsi="Arial" w:eastAsia="Arial"/>
          <w:b w:val="0"/>
          <w:i w:val="0"/>
          <w:color w:val="333333"/>
          <w:sz w:val="19"/>
        </w:rPr>
        <w:t>Timing metrics use mean wake/sleep durations;</w:t>
      </w:r>
    </w:p>
    <w:p>
      <w:pPr>
        <w:spacing w:before="0" w:after="100" w:line="240" w:lineRule="auto"/>
        <w:keepNext/>
        <w:jc w:val="center"/>
      </w:pPr>
      <w:r>
        <w:rPr>
          <w:rFonts w:ascii="Arial" w:hAnsi="Arial" w:eastAsia="Arial"/>
          <w:b w:val="0"/>
          <w:i w:val="0"/>
          <w:color w:val="333333"/>
          <w:sz w:val="19"/>
        </w:rPr>
        <w:t>other metrics to the absolute glasses reference.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jc w:val="center"/>
        <w:tblLayout w:type="fixed"/>
        <w:tblCellMar>
          <w:top w:w="0" w:type="dxa"/>
          <w:bottom w:w="0" w:type="dxa"/>
          <w:start w:w="60" w:type="dxa"/>
          <w:end w:w="60" w:type="dxa"/>
        </w:tblCellMar>
        <w:tblW w:type="dxa" w:w="10930"/>
        <w:tblInd w:w="0" w:type="dxa"/>
      </w:tblPr>
      <w:tblGrid>
        <w:gridCol w:w="2448"/>
        <w:gridCol w:w="2765"/>
        <w:gridCol w:w="2765"/>
        <w:gridCol w:w="2952"/>
      </w:tblGrid>
      <w:tr>
        <w:trPr>
          <w:cantSplit/>
          <w:tblHeader w:val="true"/>
        </w:trPr>
        <w:tc>
          <w:tcPr>
            <w:tcBorders>
              <w:top w:val="nil"/>
              <w:bottom w:val="single" w:sz="8" w:space="0" w:color="D9D9D9"/>
              <w:start w:val="nil"/>
              <w:end w:val="nil"/>
            </w:tcBorders>
            <w:tcW w:w="2448" w:type="dxa"/>
            <w:vAlign w:val="center"/>
            <w:shd w:val="clear" w:color="auto" w:fill="FFFFFF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</w:p>
        </w:tc>
        <w:tc>
          <w:tcPr>
            <w:tcBorders>
              <w:top w:val="nil"/>
              <w:bottom w:val="single" w:sz="8" w:space="0" w:color="D9D9D9"/>
              <w:start w:val="nil"/>
              <w:end w:val="nil"/>
            </w:tcBorders>
            <w:tcW w:w="2765" w:type="dxa"/>
            <w:vAlign w:val="center"/>
            <w:shd w:val="clear" w:color="auto" w:fill="FFFFFF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EFC000"/>
                <w:sz w:val="18"/>
              </w:rPr>
              <w:t>Chest</w:t>
            </w:r>
            <w:r>
              <w:rPr>
                <w:rFonts w:ascii="Arial" w:hAnsi="Arial" w:eastAsia="Arial"/>
                <w:b/>
                <w:i w:val="0"/>
                <w:color w:val="EFC000"/>
                <w:sz w:val="18"/>
                <w:vertAlign w:val="superscript"/>
              </w:rPr>
              <w:t>1</w:t>
            </w:r>
          </w:p>
        </w:tc>
        <w:tc>
          <w:tcPr>
            <w:tcBorders>
              <w:top w:val="nil"/>
              <w:bottom w:val="single" w:sz="8" w:space="0" w:color="D9D9D9"/>
              <w:start w:val="nil"/>
              <w:end w:val="nil"/>
            </w:tcBorders>
            <w:tcW w:w="2765" w:type="dxa"/>
            <w:vAlign w:val="center"/>
            <w:shd w:val="clear" w:color="auto" w:fill="FFFFFF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868686"/>
                <w:sz w:val="18"/>
              </w:rPr>
              <w:t>Wrist</w:t>
            </w:r>
            <w:r>
              <w:rPr>
                <w:rFonts w:ascii="Arial" w:hAnsi="Arial" w:eastAsia="Arial"/>
                <w:b/>
                <w:i w:val="0"/>
                <w:color w:val="868686"/>
                <w:sz w:val="18"/>
                <w:vertAlign w:val="superscript"/>
              </w:rPr>
              <w:t>1</w:t>
            </w:r>
          </w:p>
        </w:tc>
        <w:tc>
          <w:tcPr>
            <w:tcBorders>
              <w:top w:val="nil"/>
              <w:bottom w:val="single" w:sz="8" w:space="0" w:color="D9D9D9"/>
              <w:end w:val="nil"/>
              <w:start w:val="nil"/>
            </w:tcBorders>
            <w:tcW w:w="2952" w:type="dxa"/>
            <w:vAlign w:val="center"/>
            <w:shd w:val="clear" w:color="auto" w:fill="FFFFFF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333333"/>
                <w:sz w:val="18"/>
              </w:rPr>
              <w:t>General</w:t>
            </w:r>
            <w:r>
              <w:rPr>
                <w:rFonts w:ascii="Arial" w:hAnsi="Arial" w:eastAsia="Arial"/>
                <w:b/>
                <w:i w:val="0"/>
                <w:color w:val="333333"/>
                <w:sz w:val="18"/>
                <w:vertAlign w:val="superscript"/>
              </w:rPr>
              <w:t>1,2</w:t>
            </w:r>
          </w:p>
        </w:tc>
      </w:tr>
      <w:tr>
        <w:trPr>
          <w:cantSplit/>
        </w:trPr>
        <w:tc>
          <w:tcPr>
            <w:tcBorders>
              <w:top w:val="single" w:sz="5" w:space="0" w:color="D9D9D9"/>
              <w:bottom w:val="nil"/>
              <w:start w:val="nil"/>
              <w:end w:val="nil"/>
            </w:tcBorders>
            <w:tcW w:w="2448" w:type="dxa"/>
            <w:vAlign w:val="center"/>
            <w:shd w:val="clear" w:color="auto" w:fill="FFFFFF"/>
            <w:tcMar>
              <w:top w:w="44" w:type="dxa"/>
              <w:start w:w="55" w:type="dxa"/>
              <w:bottom w:w="44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Duration</w:t>
            </w:r>
          </w:p>
        </w:tc>
        <w:tc>
          <w:tcPr>
            <w:tcBorders>
              <w:top w:val="single" w:sz="5" w:space="0" w:color="D9D9D9"/>
              <w:bottom w:val="nil"/>
              <w:start w:val="single" w:sz="5" w:space="0" w:color="D9D9D9"/>
              <w:end w:val="nil"/>
            </w:tcBorders>
            <w:tcW w:w="2765" w:type="dxa"/>
            <w:vAlign w:val="center"/>
            <w:shd w:val="clear" w:color="auto" w:fill="FDF9E6"/>
            <w:tcMar>
              <w:top w:w="44" w:type="dxa"/>
              <w:start w:w="55" w:type="dxa"/>
              <w:bottom w:w="44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bias: 1%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 xml:space="preserve"> (0% - 4%)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 xml:space="preserve">signif: 6/12,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>direction: +3/-9</w:t>
            </w:r>
          </w:p>
        </w:tc>
        <w:tc>
          <w:tcPr>
            <w:tcBorders>
              <w:top w:val="single" w:sz="5" w:space="0" w:color="D9D9D9"/>
              <w:bottom w:val="nil"/>
              <w:start w:val="nil"/>
              <w:end w:val="nil"/>
            </w:tcBorders>
            <w:tcW w:w="2765" w:type="dxa"/>
            <w:vAlign w:val="center"/>
            <w:shd w:val="clear" w:color="auto" w:fill="F3F3F3"/>
            <w:tcMar>
              <w:top w:w="44" w:type="dxa"/>
              <w:start w:w="55" w:type="dxa"/>
              <w:bottom w:w="44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bias: 2%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 xml:space="preserve"> (0% - 8%)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 xml:space="preserve">signif: 8/12,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>direction: +2/-10</w:t>
            </w:r>
          </w:p>
        </w:tc>
        <w:tc>
          <w:tcPr>
            <w:tcBorders>
              <w:top w:val="single" w:sz="5" w:space="0" w:color="D9D9D9"/>
              <w:bottom w:val="nil"/>
              <w:start w:val="nil"/>
              <w:end w:val="nil"/>
            </w:tcBorders>
            <w:tcW w:w="2952" w:type="dxa"/>
            <w:vAlign w:val="center"/>
            <w:shd w:val="clear" w:color="auto" w:fill="FFFFFF"/>
            <w:tcMar>
              <w:top w:w="44" w:type="dxa"/>
              <w:start w:w="55" w:type="dxa"/>
              <w:bottom w:w="44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R²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  <w:vertAlign w:val="subscript"/>
              </w:rPr>
              <w:t>Pos.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 xml:space="preserve"> 3% (1%–7%)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R²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  <w:vertAlign w:val="subscript"/>
              </w:rPr>
              <w:t>Id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 xml:space="preserve"> 24% (16%–39%)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SD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  <w:vertAlign w:val="subscript"/>
              </w:rPr>
              <w:t>Id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 xml:space="preserve"> ±6% (2–20%)</w:t>
            </w:r>
          </w:p>
        </w:tc>
      </w:tr>
      <w:tr>
        <w:trPr>
          <w:cantSplit/>
        </w:trPr>
        <w:tc>
          <w:tcPr>
            <w:tcBorders>
              <w:top w:val="single" w:sz="5" w:space="0" w:color="D9D9D9"/>
              <w:bottom w:val="nil"/>
              <w:start w:val="nil"/>
              <w:end w:val="nil"/>
            </w:tcBorders>
            <w:tcW w:w="2448" w:type="dxa"/>
            <w:vAlign w:val="center"/>
            <w:shd w:val="clear" w:color="auto" w:fill="FFFFFF"/>
            <w:tcMar>
              <w:top w:w="44" w:type="dxa"/>
              <w:start w:w="55" w:type="dxa"/>
              <w:bottom w:w="44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Exposure history</w:t>
            </w:r>
          </w:p>
        </w:tc>
        <w:tc>
          <w:tcPr>
            <w:tcBorders>
              <w:top w:val="single" w:sz="5" w:space="0" w:color="D9D9D9"/>
              <w:bottom w:val="nil"/>
              <w:start w:val="single" w:sz="5" w:space="0" w:color="D9D9D9"/>
              <w:end w:val="nil"/>
            </w:tcBorders>
            <w:tcW w:w="2765" w:type="dxa"/>
            <w:vAlign w:val="center"/>
            <w:shd w:val="clear" w:color="auto" w:fill="FDF9E6"/>
            <w:tcMar>
              <w:top w:w="44" w:type="dxa"/>
              <w:start w:w="55" w:type="dxa"/>
              <w:bottom w:w="44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bias: 2%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 xml:space="preserve"> (1% - 2%)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 xml:space="preserve">signif: 0/2,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>direction: +1/-1</w:t>
            </w:r>
          </w:p>
        </w:tc>
        <w:tc>
          <w:tcPr>
            <w:tcBorders>
              <w:top w:val="single" w:sz="5" w:space="0" w:color="D9D9D9"/>
              <w:bottom w:val="nil"/>
              <w:start w:val="nil"/>
              <w:end w:val="nil"/>
            </w:tcBorders>
            <w:tcW w:w="2765" w:type="dxa"/>
            <w:vAlign w:val="center"/>
            <w:shd w:val="clear" w:color="auto" w:fill="F3F3F3"/>
            <w:tcMar>
              <w:top w:w="44" w:type="dxa"/>
              <w:start w:w="55" w:type="dxa"/>
              <w:bottom w:w="44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bias: 1%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 xml:space="preserve"> (0% - 1%)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 xml:space="preserve">signif: 0/2,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>direction: +2/-0</w:t>
            </w:r>
          </w:p>
        </w:tc>
        <w:tc>
          <w:tcPr>
            <w:tcBorders>
              <w:top w:val="single" w:sz="5" w:space="0" w:color="D9D9D9"/>
              <w:bottom w:val="nil"/>
              <w:start w:val="nil"/>
              <w:end w:val="nil"/>
            </w:tcBorders>
            <w:tcW w:w="2952" w:type="dxa"/>
            <w:vAlign w:val="center"/>
            <w:shd w:val="clear" w:color="auto" w:fill="FFFFFF"/>
            <w:tcMar>
              <w:top w:w="44" w:type="dxa"/>
              <w:start w:w="55" w:type="dxa"/>
              <w:bottom w:w="44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R²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  <w:vertAlign w:val="subscript"/>
              </w:rPr>
              <w:t>Pos.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 xml:space="preserve"> ---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R²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  <w:vertAlign w:val="subscript"/>
              </w:rPr>
              <w:t>Id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 xml:space="preserve"> 31% (26%–37%)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SD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  <w:vertAlign w:val="subscript"/>
              </w:rPr>
              <w:t>Id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 xml:space="preserve"> ±21% (10–32%)</w:t>
            </w:r>
          </w:p>
        </w:tc>
      </w:tr>
      <w:tr>
        <w:trPr>
          <w:cantSplit/>
        </w:trPr>
        <w:tc>
          <w:tcPr>
            <w:tcBorders>
              <w:top w:val="single" w:sz="5" w:space="0" w:color="D9D9D9"/>
              <w:bottom w:val="nil"/>
              <w:start w:val="nil"/>
              <w:end w:val="nil"/>
            </w:tcBorders>
            <w:tcW w:w="2448" w:type="dxa"/>
            <w:vAlign w:val="center"/>
            <w:shd w:val="clear" w:color="auto" w:fill="FFFFFF"/>
            <w:tcMar>
              <w:top w:w="44" w:type="dxa"/>
              <w:start w:w="55" w:type="dxa"/>
              <w:bottom w:w="44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Level</w:t>
            </w:r>
          </w:p>
        </w:tc>
        <w:tc>
          <w:tcPr>
            <w:tcBorders>
              <w:top w:val="single" w:sz="5" w:space="0" w:color="D9D9D9"/>
              <w:bottom w:val="nil"/>
              <w:start w:val="single" w:sz="5" w:space="0" w:color="D9D9D9"/>
              <w:end w:val="nil"/>
            </w:tcBorders>
            <w:tcW w:w="2765" w:type="dxa"/>
            <w:vAlign w:val="center"/>
            <w:shd w:val="clear" w:color="auto" w:fill="FDF9E6"/>
            <w:tcMar>
              <w:top w:w="44" w:type="dxa"/>
              <w:start w:w="55" w:type="dxa"/>
              <w:bottom w:w="44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bias: 5%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 xml:space="preserve"> (1% - 50%)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 xml:space="preserve">signif: 8/9,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>direction: +2/-7</w:t>
            </w:r>
          </w:p>
        </w:tc>
        <w:tc>
          <w:tcPr>
            <w:tcBorders>
              <w:top w:val="single" w:sz="5" w:space="0" w:color="D9D9D9"/>
              <w:bottom w:val="nil"/>
              <w:start w:val="nil"/>
              <w:end w:val="nil"/>
            </w:tcBorders>
            <w:tcW w:w="2765" w:type="dxa"/>
            <w:vAlign w:val="center"/>
            <w:shd w:val="clear" w:color="auto" w:fill="F3F3F3"/>
            <w:tcMar>
              <w:top w:w="44" w:type="dxa"/>
              <w:start w:w="55" w:type="dxa"/>
              <w:bottom w:w="44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bias: 9%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 xml:space="preserve"> (1% - 84%)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 xml:space="preserve">signif: 7/9,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>direction: +2/-7</w:t>
            </w:r>
          </w:p>
        </w:tc>
        <w:tc>
          <w:tcPr>
            <w:tcBorders>
              <w:top w:val="single" w:sz="5" w:space="0" w:color="D9D9D9"/>
              <w:bottom w:val="nil"/>
              <w:start w:val="nil"/>
              <w:end w:val="nil"/>
            </w:tcBorders>
            <w:tcW w:w="2952" w:type="dxa"/>
            <w:vAlign w:val="center"/>
            <w:shd w:val="clear" w:color="auto" w:fill="FFFFFF"/>
            <w:tcMar>
              <w:top w:w="44" w:type="dxa"/>
              <w:start w:w="55" w:type="dxa"/>
              <w:bottom w:w="44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R²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  <w:vertAlign w:val="subscript"/>
              </w:rPr>
              <w:t>Pos.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 xml:space="preserve"> 3% (1%–5%)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R²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  <w:vertAlign w:val="subscript"/>
              </w:rPr>
              <w:t>Id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 xml:space="preserve"> 30% (20%–37%)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SD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  <w:vertAlign w:val="subscript"/>
              </w:rPr>
              <w:t>Id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 xml:space="preserve"> ±21% (4–137%)</w:t>
            </w:r>
          </w:p>
        </w:tc>
      </w:tr>
      <w:tr>
        <w:trPr>
          <w:cantSplit/>
        </w:trPr>
        <w:tc>
          <w:tcPr>
            <w:tcBorders>
              <w:top w:val="single" w:sz="5" w:space="0" w:color="D9D9D9"/>
              <w:bottom w:val="nil"/>
              <w:start w:val="nil"/>
              <w:end w:val="nil"/>
            </w:tcBorders>
            <w:tcW w:w="2448" w:type="dxa"/>
            <w:vAlign w:val="center"/>
            <w:shd w:val="clear" w:color="auto" w:fill="FFFFFF"/>
            <w:tcMar>
              <w:top w:w="44" w:type="dxa"/>
              <w:start w:w="55" w:type="dxa"/>
              <w:bottom w:w="44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Spectrum</w:t>
            </w:r>
          </w:p>
        </w:tc>
        <w:tc>
          <w:tcPr>
            <w:tcBorders>
              <w:top w:val="single" w:sz="5" w:space="0" w:color="D9D9D9"/>
              <w:bottom w:val="nil"/>
              <w:start w:val="single" w:sz="5" w:space="0" w:color="D9D9D9"/>
              <w:end w:val="nil"/>
            </w:tcBorders>
            <w:tcW w:w="2765" w:type="dxa"/>
            <w:vAlign w:val="center"/>
            <w:shd w:val="clear" w:color="auto" w:fill="FDF9E6"/>
            <w:tcMar>
              <w:top w:w="44" w:type="dxa"/>
              <w:start w:w="55" w:type="dxa"/>
              <w:bottom w:w="44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bias: 1%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 xml:space="preserve"> (1% - 1%)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 xml:space="preserve">signif: 0/1,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>direction: +0/-1</w:t>
            </w:r>
          </w:p>
        </w:tc>
        <w:tc>
          <w:tcPr>
            <w:tcBorders>
              <w:top w:val="single" w:sz="5" w:space="0" w:color="D9D9D9"/>
              <w:bottom w:val="nil"/>
              <w:start w:val="nil"/>
              <w:end w:val="nil"/>
            </w:tcBorders>
            <w:tcW w:w="2765" w:type="dxa"/>
            <w:vAlign w:val="center"/>
            <w:shd w:val="clear" w:color="auto" w:fill="F3F3F3"/>
            <w:tcMar>
              <w:top w:w="44" w:type="dxa"/>
              <w:start w:w="55" w:type="dxa"/>
              <w:bottom w:w="44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bias: 5%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 xml:space="preserve"> (5% - 5%)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 xml:space="preserve">signif: 1/1,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>direction: +0/-1</w:t>
            </w:r>
          </w:p>
        </w:tc>
        <w:tc>
          <w:tcPr>
            <w:tcBorders>
              <w:top w:val="single" w:sz="5" w:space="0" w:color="D9D9D9"/>
              <w:bottom w:val="nil"/>
              <w:start w:val="nil"/>
              <w:end w:val="nil"/>
            </w:tcBorders>
            <w:tcW w:w="2952" w:type="dxa"/>
            <w:vAlign w:val="center"/>
            <w:shd w:val="clear" w:color="auto" w:fill="FFFFFF"/>
            <w:tcMar>
              <w:top w:w="44" w:type="dxa"/>
              <w:start w:w="55" w:type="dxa"/>
              <w:bottom w:w="44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R²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  <w:vertAlign w:val="subscript"/>
              </w:rPr>
              <w:t>Pos.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 xml:space="preserve"> 2% (2%–2%)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R²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  <w:vertAlign w:val="subscript"/>
              </w:rPr>
              <w:t>Id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 xml:space="preserve"> 35% (35%–35%)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SD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  <w:vertAlign w:val="subscript"/>
              </w:rPr>
              <w:t>Id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 xml:space="preserve"> ±11% (11–11%)</w:t>
            </w:r>
          </w:p>
        </w:tc>
      </w:tr>
      <w:tr>
        <w:trPr>
          <w:cantSplit/>
        </w:trPr>
        <w:tc>
          <w:tcPr>
            <w:tcBorders>
              <w:top w:val="single" w:sz="5" w:space="0" w:color="D9D9D9"/>
              <w:bottom w:val="nil"/>
              <w:start w:val="nil"/>
              <w:end w:val="nil"/>
            </w:tcBorders>
            <w:tcW w:w="2448" w:type="dxa"/>
            <w:vAlign w:val="center"/>
            <w:shd w:val="clear" w:color="auto" w:fill="FFFFFF"/>
            <w:tcMar>
              <w:top w:w="44" w:type="dxa"/>
              <w:start w:w="55" w:type="dxa"/>
              <w:bottom w:w="44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Temporal dynamics</w:t>
            </w:r>
          </w:p>
        </w:tc>
        <w:tc>
          <w:tcPr>
            <w:tcBorders>
              <w:top w:val="single" w:sz="5" w:space="0" w:color="D9D9D9"/>
              <w:bottom w:val="nil"/>
              <w:start w:val="single" w:sz="5" w:space="0" w:color="D9D9D9"/>
              <w:end w:val="nil"/>
            </w:tcBorders>
            <w:tcW w:w="2765" w:type="dxa"/>
            <w:vAlign w:val="center"/>
            <w:shd w:val="clear" w:color="auto" w:fill="FDF9E6"/>
            <w:tcMar>
              <w:top w:w="44" w:type="dxa"/>
              <w:start w:w="55" w:type="dxa"/>
              <w:bottom w:w="44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bias: 12%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 xml:space="preserve"> (0% - 18%)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 xml:space="preserve">signif: 5/7,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>direction: +6/-1</w:t>
            </w:r>
          </w:p>
        </w:tc>
        <w:tc>
          <w:tcPr>
            <w:tcBorders>
              <w:top w:val="single" w:sz="5" w:space="0" w:color="D9D9D9"/>
              <w:bottom w:val="nil"/>
              <w:start w:val="nil"/>
              <w:end w:val="nil"/>
            </w:tcBorders>
            <w:tcW w:w="2765" w:type="dxa"/>
            <w:vAlign w:val="center"/>
            <w:shd w:val="clear" w:color="auto" w:fill="F3F3F3"/>
            <w:tcMar>
              <w:top w:w="44" w:type="dxa"/>
              <w:start w:w="55" w:type="dxa"/>
              <w:bottom w:w="44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bias: 15%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 xml:space="preserve"> (5% - 52%)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 xml:space="preserve">signif: 7/7,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>direction: +6/-1</w:t>
            </w:r>
          </w:p>
        </w:tc>
        <w:tc>
          <w:tcPr>
            <w:tcBorders>
              <w:top w:val="single" w:sz="5" w:space="0" w:color="D9D9D9"/>
              <w:bottom w:val="nil"/>
              <w:start w:val="nil"/>
              <w:end w:val="nil"/>
            </w:tcBorders>
            <w:tcW w:w="2952" w:type="dxa"/>
            <w:vAlign w:val="center"/>
            <w:shd w:val="clear" w:color="auto" w:fill="FFFFFF"/>
            <w:tcMar>
              <w:top w:w="44" w:type="dxa"/>
              <w:start w:w="55" w:type="dxa"/>
              <w:bottom w:w="44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R²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  <w:vertAlign w:val="subscript"/>
              </w:rPr>
              <w:t>Pos.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 xml:space="preserve"> 2% (0%–15%)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R²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  <w:vertAlign w:val="subscript"/>
              </w:rPr>
              <w:t>Id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 xml:space="preserve"> 53% (18%–69%)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SD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  <w:vertAlign w:val="subscript"/>
              </w:rPr>
              <w:t>Id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 xml:space="preserve"> ±33% (11–51%)</w:t>
            </w:r>
          </w:p>
        </w:tc>
      </w:tr>
      <w:tr>
        <w:trPr>
          <w:cantSplit/>
        </w:trPr>
        <w:tc>
          <w:tcPr>
            <w:tcBorders>
              <w:top w:val="single" w:sz="5" w:space="0" w:color="D9D9D9"/>
              <w:bottom w:val="nil"/>
              <w:start w:val="nil"/>
              <w:end w:val="nil"/>
            </w:tcBorders>
            <w:tcW w:w="2448" w:type="dxa"/>
            <w:vAlign w:val="center"/>
            <w:shd w:val="clear" w:color="auto" w:fill="FFFFFF"/>
            <w:tcMar>
              <w:top w:w="44" w:type="dxa"/>
              <w:start w:w="55" w:type="dxa"/>
              <w:bottom w:w="44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Timing</w:t>
            </w:r>
          </w:p>
        </w:tc>
        <w:tc>
          <w:tcPr>
            <w:tcBorders>
              <w:top w:val="single" w:sz="5" w:space="0" w:color="D9D9D9"/>
              <w:bottom w:val="nil"/>
              <w:start w:val="single" w:sz="5" w:space="0" w:color="D9D9D9"/>
              <w:end w:val="nil"/>
            </w:tcBorders>
            <w:tcW w:w="2765" w:type="dxa"/>
            <w:vAlign w:val="center"/>
            <w:shd w:val="clear" w:color="auto" w:fill="FDF9E6"/>
            <w:tcMar>
              <w:top w:w="44" w:type="dxa"/>
              <w:start w:w="55" w:type="dxa"/>
              <w:bottom w:w="44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bias: 1%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 xml:space="preserve"> (0% - 1%)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 xml:space="preserve">signif: 0/23,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>direction: +19/-4</w:t>
            </w:r>
          </w:p>
        </w:tc>
        <w:tc>
          <w:tcPr>
            <w:tcBorders>
              <w:top w:val="single" w:sz="5" w:space="0" w:color="D9D9D9"/>
              <w:bottom w:val="nil"/>
              <w:start w:val="nil"/>
              <w:end w:val="nil"/>
            </w:tcBorders>
            <w:tcW w:w="2765" w:type="dxa"/>
            <w:vAlign w:val="center"/>
            <w:shd w:val="clear" w:color="auto" w:fill="F3F3F3"/>
            <w:tcMar>
              <w:top w:w="44" w:type="dxa"/>
              <w:start w:w="55" w:type="dxa"/>
              <w:bottom w:w="44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bias: 1%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 xml:space="preserve"> (0% - 3%)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 xml:space="preserve">signif: 4/23,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>direction: +21/-2</w:t>
            </w:r>
          </w:p>
        </w:tc>
        <w:tc>
          <w:tcPr>
            <w:tcBorders>
              <w:top w:val="single" w:sz="5" w:space="0" w:color="D9D9D9"/>
              <w:bottom w:val="nil"/>
              <w:start w:val="nil"/>
              <w:end w:val="nil"/>
            </w:tcBorders>
            <w:tcW w:w="2952" w:type="dxa"/>
            <w:vAlign w:val="center"/>
            <w:shd w:val="clear" w:color="auto" w:fill="FFFFFF"/>
            <w:tcMar>
              <w:top w:w="44" w:type="dxa"/>
              <w:start w:w="55" w:type="dxa"/>
              <w:bottom w:w="44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R²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  <w:vertAlign w:val="subscript"/>
              </w:rPr>
              <w:t>Pos.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 xml:space="preserve"> 1% (1%–1%)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R²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  <w:vertAlign w:val="subscript"/>
              </w:rPr>
              <w:t>Id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 xml:space="preserve"> 19% (11%–41%)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SD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  <w:vertAlign w:val="subscript"/>
              </w:rPr>
              <w:t>Id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 xml:space="preserve"> ±6% (3–12%)</w:t>
            </w:r>
          </w:p>
        </w:tc>
      </w:tr>
      <w:tr>
        <w:trPr>
          <w:cantSplit/>
        </w:trPr>
        <w:tc>
          <w:tcPr>
            <w:tcBorders>
              <w:top w:val="single" w:sz="14" w:space="0" w:color="000000"/>
              <w:bottom w:val="nil"/>
              <w:start w:val="nil"/>
              <w:end w:val="nil"/>
            </w:tcBorders>
            <w:tcW w:w="2448" w:type="dxa"/>
            <w:vAlign w:val="center"/>
            <w:shd w:val="clear" w:color="auto" w:fill="FFFFFF"/>
            <w:tcMar>
              <w:top w:w="44" w:type="dxa"/>
              <w:start w:w="55" w:type="dxa"/>
              <w:bottom w:w="44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Overall</w:t>
            </w:r>
          </w:p>
        </w:tc>
        <w:tc>
          <w:tcPr>
            <w:tcBorders>
              <w:top w:val="single" w:sz="14" w:space="0" w:color="000000"/>
              <w:bottom w:val="nil"/>
              <w:start w:val="single" w:sz="5" w:space="0" w:color="D9D9D9"/>
              <w:end w:val="nil"/>
            </w:tcBorders>
            <w:tcW w:w="2765" w:type="dxa"/>
            <w:vAlign w:val="center"/>
            <w:shd w:val="clear" w:color="auto" w:fill="F7DF80"/>
            <w:tcMar>
              <w:top w:w="44" w:type="dxa"/>
              <w:start w:w="55" w:type="dxa"/>
              <w:bottom w:w="44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bias: 1%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 xml:space="preserve"> (0% - 50%)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 xml:space="preserve">signif: 19/54,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>direction: +31/-23</w:t>
            </w:r>
          </w:p>
        </w:tc>
        <w:tc>
          <w:tcPr>
            <w:tcBorders>
              <w:top w:val="single" w:sz="14" w:space="0" w:color="000000"/>
              <w:bottom w:val="nil"/>
              <w:start w:val="nil"/>
              <w:end w:val="nil"/>
            </w:tcBorders>
            <w:tcW w:w="2765" w:type="dxa"/>
            <w:vAlign w:val="center"/>
            <w:shd w:val="clear" w:color="auto" w:fill="C3C3C3"/>
            <w:tcMar>
              <w:top w:w="44" w:type="dxa"/>
              <w:start w:w="55" w:type="dxa"/>
              <w:bottom w:w="44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bias: 2%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 xml:space="preserve"> (0% - 84%)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 xml:space="preserve">signif: 27/54,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>direction: +33/-21</w:t>
            </w:r>
          </w:p>
        </w:tc>
        <w:tc>
          <w:tcPr>
            <w:tcBorders>
              <w:top w:val="single" w:sz="14" w:space="0" w:color="000000"/>
              <w:bottom w:val="nil"/>
              <w:start w:val="nil"/>
              <w:end w:val="nil"/>
            </w:tcBorders>
            <w:tcW w:w="2952" w:type="dxa"/>
            <w:vAlign w:val="center"/>
            <w:shd w:val="clear" w:color="auto" w:fill="FFFFFF"/>
            <w:tcMar>
              <w:top w:w="44" w:type="dxa"/>
              <w:start w:w="55" w:type="dxa"/>
              <w:bottom w:w="44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R²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  <w:vertAlign w:val="subscript"/>
              </w:rPr>
              <w:t>Pos.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 xml:space="preserve"> 2% (0%–15%)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R²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  <w:vertAlign w:val="subscript"/>
              </w:rPr>
              <w:t>Id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 xml:space="preserve"> 26% (11%–69%)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SD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  <w:vertAlign w:val="subscript"/>
              </w:rPr>
              <w:t>Id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 xml:space="preserve"> ±8% (2–137%)</w:t>
            </w:r>
          </w:p>
        </w:tc>
      </w:tr>
      <w:tr>
        <w:trPr>
          <w:cantSplit/>
        </w:trPr>
        <w:tc>
          <w:tcPr>
            <w:tcBorders>
              <w:top w:val="single" w:sz="5" w:space="0" w:color="D9D9D9"/>
              <w:bottom w:val="nil"/>
              <w:start w:val="nil"/>
              <w:end w:val="nil"/>
            </w:tcBorders>
            <w:tcW w:w="2448" w:type="dxa"/>
            <w:vAlign w:val="center"/>
            <w:shd w:val="clear" w:color="auto" w:fill="FFFFFF"/>
            <w:tcMar>
              <w:top w:w="44" w:type="dxa"/>
              <w:start w:w="55" w:type="dxa"/>
              <w:bottom w:w="44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Overall (significant)</w:t>
            </w:r>
          </w:p>
        </w:tc>
        <w:tc>
          <w:tcPr>
            <w:tcBorders>
              <w:top w:val="single" w:sz="5" w:space="0" w:color="D9D9D9"/>
              <w:bottom w:val="nil"/>
              <w:start w:val="single" w:sz="5" w:space="0" w:color="D9D9D9"/>
              <w:end w:val="nil"/>
            </w:tcBorders>
            <w:tcW w:w="2765" w:type="dxa"/>
            <w:vAlign w:val="center"/>
            <w:shd w:val="clear" w:color="auto" w:fill="F7DF80"/>
            <w:tcMar>
              <w:top w:w="44" w:type="dxa"/>
              <w:start w:w="55" w:type="dxa"/>
              <w:bottom w:w="44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bias: 5%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 xml:space="preserve"> (1% - 50%)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>direction: +6/-13</w:t>
            </w:r>
          </w:p>
        </w:tc>
        <w:tc>
          <w:tcPr>
            <w:tcBorders>
              <w:top w:val="single" w:sz="5" w:space="0" w:color="D9D9D9"/>
              <w:bottom w:val="nil"/>
              <w:start w:val="nil"/>
              <w:end w:val="nil"/>
            </w:tcBorders>
            <w:tcW w:w="2765" w:type="dxa"/>
            <w:vAlign w:val="center"/>
            <w:shd w:val="clear" w:color="auto" w:fill="C3C3C3"/>
            <w:tcMar>
              <w:top w:w="44" w:type="dxa"/>
              <w:start w:w="55" w:type="dxa"/>
              <w:bottom w:w="44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bias: 5%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 xml:space="preserve"> (1% - 84%)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>direction: +11/-16</w:t>
            </w:r>
          </w:p>
        </w:tc>
        <w:tc>
          <w:tcPr>
            <w:tcBorders>
              <w:top w:val="single" w:sz="5" w:space="0" w:color="D9D9D9"/>
              <w:bottom w:val="nil"/>
              <w:start w:val="nil"/>
              <w:end w:val="nil"/>
            </w:tcBorders>
            <w:tcW w:w="2952" w:type="dxa"/>
            <w:vAlign w:val="center"/>
            <w:shd w:val="clear" w:color="auto" w:fill="FFFFFF"/>
            <w:tcMar>
              <w:top w:w="44" w:type="dxa"/>
              <w:start w:w="55" w:type="dxa"/>
              <w:bottom w:w="44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R²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  <w:vertAlign w:val="subscript"/>
              </w:rPr>
              <w:t>Pos.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 xml:space="preserve"> 2% (0%–15%)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R²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  <w:vertAlign w:val="subscript"/>
              </w:rPr>
              <w:t>Id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 xml:space="preserve"> 26% (11%–69%)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SD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  <w:vertAlign w:val="subscript"/>
              </w:rPr>
              <w:t>Id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 xml:space="preserve"> ±8% (2–137%)</w:t>
            </w:r>
          </w:p>
        </w:tc>
      </w:tr>
      <w:tr>
        <w:trPr>
          <w:cantSplit/>
        </w:trPr>
        <w:tc>
          <w:tcPr>
            <w:gridSpan w:val="4"/>
            <w:tcW w:w="10930" w:type="dxa"/>
            <w:vAlign w:val="center"/>
            <w:tcBorders>
              <w:top w:val="single" w:sz="6" w:space="0" w:color="D9D9D9"/>
              <w:bottom w:val="nil"/>
              <w:start w:val="nil"/>
              <w:end w:val="nil"/>
            </w:tcBorders>
            <w:shd w:val="clear" w:color="auto" w:fill="FFFFFF"/>
            <w:tcMar>
              <w:top w:w="22" w:type="dxa"/>
              <w:start w:w="45" w:type="dxa"/>
              <w:bottom w:w="20" w:type="dxa"/>
              <w:end w:w="45" w:type="dxa"/>
            </w:tcMar>
          </w:tcPr>
          <w:p>
            <w:pPr>
              <w:keepNext w:val="0"/>
              <w:spacing w:before="0" w:after="0" w:line="228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14"/>
              </w:rPr>
              <w:t>median bias (min - max), significant bias / all metrics, positive / negative deviations</w:t>
            </w:r>
          </w:p>
        </w:tc>
      </w:tr>
      <w:tr>
        <w:trPr>
          <w:cantSplit/>
        </w:trPr>
        <w:tc>
          <w:tcPr>
            <w:gridSpan w:val="4"/>
            <w:tcW w:w="10930" w:type="dxa"/>
            <w:vAlign w:val="center"/>
            <w:tcBorders>
              <w:top w:val="nil"/>
              <w:bottom w:val="nil"/>
              <w:start w:val="nil"/>
              <w:end w:val="nil"/>
            </w:tcBorders>
            <w:shd w:val="clear" w:color="auto" w:fill="FFFFFF"/>
            <w:tcMar>
              <w:top w:w="22" w:type="dxa"/>
              <w:start w:w="45" w:type="dxa"/>
              <w:bottom w:w="20" w:type="dxa"/>
              <w:end w:w="45" w:type="dxa"/>
            </w:tcMar>
          </w:tcPr>
          <w:p>
            <w:pPr>
              <w:keepNext w:val="0"/>
              <w:spacing w:before="0" w:after="0" w:line="228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14"/>
                <w:vertAlign w:val="superscript"/>
              </w:rPr>
              <w:t>1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4"/>
              </w:rPr>
              <w:t>Timing effects and timing-model SDs use the grand mean diary-defined wake duration (15 h 44 min; 1% = 9.4 min) for brightness-based timing metrics and the grand mean diary-defined sleep duration (8 h 16 min; 1% = 5.0 min) for darkness-based timing metrics. All other metrics use the absolute glasses reference on the modelling scale. Overall rows combine these normalization bases.</w:t>
            </w:r>
          </w:p>
        </w:tc>
      </w:tr>
      <w:tr>
        <w:trPr>
          <w:cantSplit/>
        </w:trPr>
        <w:tc>
          <w:tcPr>
            <w:gridSpan w:val="4"/>
            <w:tcW w:w="10930" w:type="dxa"/>
            <w:vAlign w:val="center"/>
            <w:tcBorders>
              <w:top w:val="nil"/>
              <w:bottom w:val="single" w:sz="8" w:space="0" w:color="A6A6A6"/>
              <w:start w:val="nil"/>
              <w:end w:val="nil"/>
            </w:tcBorders>
            <w:shd w:val="clear" w:color="auto" w:fill="FFFFFF"/>
            <w:tcMar>
              <w:top w:w="22" w:type="dxa"/>
              <w:start w:w="45" w:type="dxa"/>
              <w:bottom w:w="20" w:type="dxa"/>
              <w:end w:w="45" w:type="dxa"/>
            </w:tcMar>
          </w:tcPr>
          <w:p>
            <w:pPr>
              <w:keepNext w:val="0"/>
              <w:spacing w:before="0" w:after="0" w:line="228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14"/>
                <w:vertAlign w:val="superscript"/>
              </w:rPr>
              <w:t>2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4"/>
              </w:rPr>
              <w:t>R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4"/>
                <w:vertAlign w:val="superscript"/>
              </w:rPr>
              <w:t>2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4"/>
                <w:vertAlign w:val="subscript"/>
              </w:rPr>
              <w:t>Pos.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4"/>
              </w:rPr>
              <w:t>: partial R² for the specific position effect (glasses, chest, or wrist; median min–max), significant metrics only. R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4"/>
                <w:vertAlign w:val="superscript"/>
              </w:rPr>
              <w:t>2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4"/>
                <w:vertAlign w:val="subscript"/>
              </w:rPr>
              <w:t>Id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4"/>
              </w:rPr>
              <w:t xml:space="preserve"> and SD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4"/>
                <w:vertAlign w:val="subscript"/>
              </w:rPr>
              <w:t>Id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4"/>
              </w:rPr>
              <w:t>: individual ID random effect, all metrics.</w:t>
            </w:r>
          </w:p>
        </w:tc>
      </w:tr>
    </w:tbl>
    <w:p>
      <w:pPr>
        <w:pStyle w:val="FirstParagraph"/>
        <w:keepNext w:val="0"/>
        <w:spacing w:before="0" w:after="0" w:line="240" w:lineRule="auto"/>
        <w:jc w:val="left"/>
      </w:pPr>
    </w:p>
    <w:sectPr>
      <w:footnotePr>
        <w:numRestart w:val="eachSect"/>
      </w:footnotePr>
      <w:pgSz w:w="11906" w:h="16838"/>
      <w:pgMar w:top="461" w:bottom="461" w:left="461" w:right="461" w:header="144" w:footer="14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18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2026-08-12T08:05:14Z</dcterms:created>
  <dcterms:modified xsi:type="dcterms:W3CDTF">2026-08-12T08:05:14Z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