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Munich, Germany (48.1°N, 11.6°E), TZ: Europe/Berlin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&lt;strong&gt;10&lt;/strong&gt;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&lt;strong&gt;80&lt;/strong&gt;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&lt;strong&gt;60&lt;/strong&gt;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&lt;strong&gt;15.23%&lt;/strong&gt; (11.55% - 17.27%)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&lt;strong&gt;17h 5m&lt;/strong&gt; (16h 21m - 17h 27m)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&lt;strong&gt;9,364&lt;/strong&gt; ±10,369 (234 - 53,368)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&lt;strong&gt;3h 15m&lt;/strong&gt; ±2h 37m (0s - 10h 2m)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1–10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&lt;strong&gt;3h 14m&lt;/strong&gt; ±1h 38m (22m 50s - 8h 17m)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&lt;strong&gt;8h 13m&lt;/strong&gt; ±2h 29m (2h 16m - 15h 9m)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&lt;strong&gt;54m 2s&lt;/strong&gt; ±1h 7m (0s - 4h 53m)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8m&lt;/strong&gt; ±1h 17m (0s - 5h 24m)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&lt;strong&gt;08:53&lt;/strong&gt; ±03:27 (00:00 - 16:30)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&lt;strong&gt;14:13&lt;/strong&gt; ±02:04 (10:03 - 18:25)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&lt;strong&gt;20:23&lt;/strong&gt; ±02:09 (13:28 - 23:59)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&lt;strong&gt;14:34&lt;/strong&gt; ±02:16 (10:28 - 18:59)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&lt;strong&gt;03:18&lt;/strong&gt; ±01:16 (00:17 - 07:47)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&lt;strong&gt;160.1&lt;/strong&gt; ±165.3 (7.8 - 706.5)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&lt;strong&gt;0.1&lt;/strong&gt; ±0.2 (0.0 - 1.4)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&lt;strong&gt;0.242&lt;/strong&gt; ±0.061 (0.143 - 0.341)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&lt;strong&gt;1.394&lt;/strong&gt; ±0.426 (0.719 - 1.971)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show: </w:t>
            </w:r>
            <w:r>
              <w:rPr>
                <w:b w:val="true"/>
                <w:rFonts w:ascii="Calibri" w:hAnsi="Calibri"/>
                <w:sz w:val="20"/>
              </w:rPr>
              <w:t xml:space="preserve">mean</w:t>
            </w:r>
            <w:r>
              <w:rPr>
                <w:rFonts w:ascii="Calibri" w:hAnsi="Calibri"/>
                <w:sz w:val="20"/>
              </w:rPr>
              <w:t xml:space="preserve">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(n=60) with the exception of IV and IS, which are calculated on a by-participant basis (n=10).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2025-11-26T12:36:27Z</dcterms:created>
  <dcterms:modified xsi:type="dcterms:W3CDTF">2025-11-26T12:36:27Z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