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3.png" ContentType="image/png"/>
  <Override PartName="/word/media/rId25.png" ContentType="image/png"/>
  <Override PartName="/word/media/rId21.gif" ContentType="image/gif"/>
  <Override PartName="/word/media/rId87.png" ContentType="image/png"/>
  <Override PartName="/word/media/rId92.png" ContentType="image/png"/>
  <Override PartName="/word/media/rId81.png" ContentType="image/png"/>
  <Override PartName="/word/media/rId98.png" ContentType="image/png"/>
  <Override PartName="/word/media/rId102.png" ContentType="image/png"/>
  <Override PartName="/word/media/rId115.png" ContentType="image/png"/>
  <Override PartName="/word/media/rId63.png" ContentType="image/png"/>
  <Override PartName="/word/media/rId146.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Analysis of human visual experience data</w:t>
      </w:r>
    </w:p>
    <w:p>
      <w:pPr>
        <w:pStyle w:val="Author"/>
      </w:pPr>
      <w:r>
        <w:t xml:space="preserve">Johannes Zauner</w:t>
      </w:r>
    </w:p>
    <w:p>
      <w:pPr>
        <w:pStyle w:val="Author"/>
      </w:pPr>
      <w:r>
        <w:t xml:space="preserve">Aaron Nicholls</w:t>
      </w:r>
    </w:p>
    <w:p>
      <w:pPr>
        <w:pStyle w:val="Author"/>
      </w:pPr>
      <w:r>
        <w:t xml:space="preserve">Lisa A. Ostrin</w:t>
      </w:r>
    </w:p>
    <w:p>
      <w:pPr>
        <w:pStyle w:val="Author"/>
      </w:pPr>
      <w:r>
        <w:t xml:space="preserve">Manuel Spitschan</w:t>
      </w:r>
    </w:p>
    <w:p>
      <w:pPr>
        <w:pStyle w:val="Date"/>
      </w:pPr>
      <w:r>
        <w:t xml:space="preserve">2025-12-12</w:t>
      </w:r>
    </w:p>
    <w:p>
      <w:pPr>
        <w:pStyle w:val="AbstractTitle"/>
      </w:pPr>
      <w:r>
        <w:t xml:space="preserve">Abstract</w:t>
      </w:r>
    </w:p>
    <w:p>
      <w:pPr>
        <w:pStyle w:val="Abstract"/>
      </w:pPr>
      <w:r>
        <w:t xml:space="preserve">Exposure to the optical environment — often referred to as</w:t>
      </w:r>
      <w:r>
        <w:t xml:space="preserve"> </w:t>
      </w:r>
      <w:r>
        <w:rPr>
          <w:i/>
          <w:iCs/>
        </w:rPr>
        <w:t xml:space="preserve">visual experience</w:t>
      </w:r>
      <w:r>
        <w:t xml:space="preserve"> </w:t>
      </w:r>
      <w:r>
        <w:t xml:space="preserve">— profoundly influences human physiology and behavior across multiple time scales. In controlled laboratory settings, stimuli can be held constant or manipulated parametrically. However, such exposures rarely replicate real-world conditions, which are inherently complex and dynamic, generating high-dimensional datasets that demand rigorous and flexible analysis strategies. This tutorial presents an analysis pipeline for visual experience datasets, with a focus on reproducible workflows for human chronobiology and myopia research. Light exposure and its retinal encoding affect human physiology and behavior across multiple time scales. Here we provide step-by-step instructions for importing, visualizing, and processing viewing distance and light exposure data. This includes time-series analyses for working distance, biologically relevant light metrics, and spectral characteristics. The tasks are standardized through the open-source R package</w:t>
      </w:r>
      <w:r>
        <w:t xml:space="preserve"> </w:t>
      </w:r>
      <w:hyperlink r:id="rId20">
        <w:r>
          <w:rPr>
            <w:rStyle w:val="Hyperlink"/>
            <w:b/>
            <w:bCs/>
          </w:rPr>
          <w:t xml:space="preserve">LightLogR</w:t>
        </w:r>
      </w:hyperlink>
      <w:r>
        <w:t xml:space="preserve">. By leveraging a modular approach, the tutorial supports researchers in building flexible and robust pipelines that accommodate diverse experimental paradigms and measurement systems.</w:t>
      </w:r>
    </w:p>
    <w:bookmarkStart w:id="29" w:name="introduction"/>
    <w:p>
      <w:pPr>
        <w:pStyle w:val="Heading2"/>
      </w:pPr>
      <w:r>
        <w:t xml:space="preserve">Introduction</w:t>
      </w:r>
    </w:p>
    <w:p>
      <w:pPr>
        <w:pStyle w:val="FirstParagraph"/>
      </w:pPr>
      <w:r>
        <w:drawing>
          <wp:inline>
            <wp:extent cx="2133600" cy="2133600"/>
            <wp:effectExtent b="0" l="0" r="0" t="0"/>
            <wp:docPr descr="" title="" id="22" name="Picture"/>
            <a:graphic>
              <a:graphicData uri="http://schemas.openxmlformats.org/drawingml/2006/picture">
                <pic:pic>
                  <pic:nvPicPr>
                    <pic:cNvPr descr="assets/abstract_med.gif" id="23" name="Picture"/>
                    <pic:cNvPicPr>
                      <a:picLocks noChangeArrowheads="1" noChangeAspect="1"/>
                    </pic:cNvPicPr>
                  </pic:nvPicPr>
                  <pic:blipFill>
                    <a:blip r:embed="rId21"/>
                    <a:stretch>
                      <a:fillRect/>
                    </a:stretch>
                  </pic:blipFill>
                  <pic:spPr bwMode="auto">
                    <a:xfrm>
                      <a:off x="0" y="0"/>
                      <a:ext cx="2133600" cy="2133600"/>
                    </a:xfrm>
                    <a:prstGeom prst="rect">
                      <a:avLst/>
                    </a:prstGeom>
                    <a:noFill/>
                    <a:ln w="9525">
                      <a:noFill/>
                      <a:headEnd/>
                      <a:tailEnd/>
                    </a:ln>
                  </pic:spPr>
                </pic:pic>
              </a:graphicData>
            </a:graphic>
          </wp:inline>
        </w:drawing>
      </w:r>
    </w:p>
    <w:p>
      <w:pPr>
        <w:pStyle w:val="BodyText"/>
      </w:pPr>
      <w:r>
        <w:t xml:space="preserve">Exposure to the optical environment — often referred to as</w:t>
      </w:r>
      <w:r>
        <w:t xml:space="preserve"> </w:t>
      </w:r>
      <w:r>
        <w:rPr>
          <w:i/>
          <w:iCs/>
        </w:rPr>
        <w:t xml:space="preserve">visual experience</w:t>
      </w:r>
      <w:r>
        <w:t xml:space="preserve"> </w:t>
      </w:r>
      <w:r>
        <w:t xml:space="preserve">— profoundly influences human physiology and behavior across multiple time scales. Two notable examples, from distinct research domains, can be understood through a common retinally-referenced framework.</w:t>
      </w:r>
    </w:p>
    <w:p>
      <w:pPr>
        <w:pStyle w:val="BodyText"/>
      </w:pPr>
      <w:r>
        <w:t xml:space="preserve">The first example relates to the non-visual effects of light on human circadian and neuroendocrine physiology. The light–dark cycle entrains the circadian clock, and light exposure at night suppresses melatonin production</w:t>
      </w:r>
      <w:r>
        <w:t xml:space="preserve"> </w:t>
      </w:r>
      <w:r>
        <w:t xml:space="preserve">(Brown et al. 2022; Blume, Garbazza, and Spitschan 2019)</w:t>
      </w:r>
      <w:r>
        <w:t xml:space="preserve">. The second example concerns the influence of visual experience on ocular development, particularly myopia. Time spent outdoors — which features distinct optical environments — has been consistently associated with protective effects on ocular growth and health outcomes</w:t>
      </w:r>
      <w:r>
        <w:t xml:space="preserve"> </w:t>
      </w:r>
      <w:r>
        <w:t xml:space="preserve">(Dahlmann-Noor et al. 2025)</w:t>
      </w:r>
      <w:r>
        <w:t xml:space="preserve">.</w:t>
      </w:r>
    </w:p>
    <w:p>
      <w:pPr>
        <w:pStyle w:val="BodyText"/>
      </w:pPr>
      <w:r>
        <w:t xml:space="preserve">In controlled laboratory settings, light exposure can be held constant or manipulated parametrically. In contrast, real-world conditions are inherently complex and dynamic, and cannot be captured by single spot measurements. As people move in and between spaces (indoors and outdoors) and move their body, head, and eyes, exposure to the optical environment varies significantly</w:t>
      </w:r>
      <w:r>
        <w:t xml:space="preserve"> </w:t>
      </w:r>
      <w:r>
        <w:t xml:space="preserve">(Webler et al. 2019)</w:t>
      </w:r>
      <w:r>
        <w:t xml:space="preserve"> </w:t>
      </w:r>
      <w:r>
        <w:t xml:space="preserve">and is modulated by behavior</w:t>
      </w:r>
      <w:r>
        <w:t xml:space="preserve"> </w:t>
      </w:r>
      <w:r>
        <w:t xml:space="preserve">(Biller, Balakrishnan, and Spitschan 2024)</w:t>
      </w:r>
      <w:r>
        <w:t xml:space="preserve">. Wearable devices for measuring light exposure have thus emerged as vital tools to capture the ecological visual experience. These tools generate high-dimensional datasets that demand rigorous and flexible analysis strategies.</w:t>
      </w:r>
    </w:p>
    <w:p>
      <w:pPr>
        <w:pStyle w:val="BodyText"/>
      </w:pPr>
      <w:r>
        <w:t xml:space="preserve">Starting in the 1980s</w:t>
      </w:r>
      <w:r>
        <w:t xml:space="preserve"> </w:t>
      </w:r>
      <w:r>
        <w:t xml:space="preserve">(Okudaira, Kripke, and Webster 1983)</w:t>
      </w:r>
      <w:r>
        <w:t xml:space="preserve">, technology to measure optical exposure has matured, with miniaturized illuminance sensors now (in 2025) very common in consumer wearables</w:t>
      </w:r>
      <w:r>
        <w:t xml:space="preserve"> </w:t>
      </w:r>
      <w:r>
        <w:t xml:space="preserve">(van Duijnhoven et al. 2025)</w:t>
      </w:r>
      <w:r>
        <w:t xml:space="preserve">. In research, several devices are available that differ in functionality, ranging from small pins measuring ambient illuminance</w:t>
      </w:r>
      <w:r>
        <w:t xml:space="preserve"> </w:t>
      </w:r>
      <w:r>
        <w:t xml:space="preserve">(Mohamed et al. 2021)</w:t>
      </w:r>
      <w:r>
        <w:t xml:space="preserve"> </w:t>
      </w:r>
      <w:r>
        <w:t xml:space="preserve">to head-mounted multi-modal devices capturing nearly all relevant aspects of visual experience</w:t>
      </w:r>
      <w:r>
        <w:t xml:space="preserve"> </w:t>
      </w:r>
      <w:r>
        <w:t xml:space="preserve">(Gibaldi et al. 2024)</w:t>
      </w:r>
      <w:r>
        <w:t xml:space="preserve">. Increased capabilities in wearables bring complex, dense datasets. These go hand-in-hand with a proliferation of metrics, as highlighted by recent review papers in both circadian and myopia research</w:t>
      </w:r>
      <w:r>
        <w:t xml:space="preserve"> </w:t>
      </w:r>
      <w:r>
        <w:t xml:space="preserve">(Hönekopp and Weigelt 2023; Hartmeyer and Andersen 2023)</w:t>
      </w:r>
      <w:r>
        <w:t xml:space="preserve">.</w:t>
      </w:r>
    </w:p>
    <w:p>
      <w:pPr>
        <w:pStyle w:val="BodyText"/>
      </w:pPr>
      <w:r>
        <w:t xml:space="preserve">At present, the analysis processes to derive metrics are often implemented on a per-laboratory or even per-researcher basis. This fragmentation is a potential source of errors and inconsistencies between studies, consumes considerable researcher time</w:t>
      </w:r>
      <w:r>
        <w:t xml:space="preserve"> </w:t>
      </w:r>
      <w:r>
        <w:t xml:space="preserve">(Hartmeyer, Webler, and Andersen 2022)</w:t>
      </w:r>
      <w:r>
        <w:t xml:space="preserve">, and these bespoke processes and formats hinder harmonization or meta-analysis across multiple studies. It is very common that more time is spent preparing data than gaining insights through rigorous statistical analysis. These preparation tasks are best handled, or at least facilitated, by standardized, transparent, community-based analysis pipelines</w:t>
      </w:r>
      <w:r>
        <w:t xml:space="preserve"> </w:t>
      </w:r>
      <w:r>
        <w:t xml:space="preserve">(J. Zauner, Udovicic, and Spitschan 2024)</w:t>
      </w:r>
      <w:r>
        <w:t xml:space="preserve">.</w:t>
      </w:r>
    </w:p>
    <w:p>
      <w:pPr>
        <w:pStyle w:val="BodyText"/>
      </w:pPr>
      <w:r>
        <w:t xml:space="preserve">In circadian research, the R package LightLogR was developed to address this need</w:t>
      </w:r>
      <w:r>
        <w:t xml:space="preserve"> </w:t>
      </w:r>
      <w:r>
        <w:t xml:space="preserve">(J. Zauner, Hartmeyer, and Spitschan 2025)</w:t>
      </w:r>
      <w:r>
        <w:t xml:space="preserve">. LightLogR is an open-source, MIT-licensed, community-driven package specifically designed for data from wearable light loggers and optical radiation dosimeters. It contains functions to calculate over sixty different metrics used in the field</w:t>
      </w:r>
      <w:r>
        <w:t xml:space="preserve"> </w:t>
      </w:r>
      <w:r>
        <w:t xml:space="preserve">(Hartmeyer and Andersen 2023)</w:t>
      </w:r>
      <w:r>
        <w:t xml:space="preserve">. The package functions come with light-related defaults, but they remain fundamentally agnostic to modality. As a result, parameters like viewing distance and light spectra, both highly relevant to myopia research</w:t>
      </w:r>
      <w:r>
        <w:t xml:space="preserve"> </w:t>
      </w:r>
      <w:r>
        <w:t xml:space="preserve">(Hönekopp and Weigelt 2023)</w:t>
      </w:r>
      <w:r>
        <w:t xml:space="preserve">, can easily be handled.</w:t>
      </w:r>
    </w:p>
    <w:p>
      <w:pPr>
        <w:pStyle w:val="BodyText"/>
      </w:pPr>
      <w:r>
        <w:t xml:space="preserve">In this article, we demonstrate that LightLogR’s analysis pipelines and metric functions apply broadly across the field of visual experience research, not just to circadian rhythms and chronobiology. Our approach is modular and extensible, allowing researchers to adapt it to a variety of devices and research questions. Emphasis is placed on clarity, transparency, and reproducibility, aligning with best practices in scientific computing and open science. We use example data from two devices (worn by different individuals and at different times) to showcase the LightLogR workflow with metrics relevant to myopia research, covering working distance, (day)light exposure, and spectral analysis. Readers are encouraged to recreate the analysis using the provided code. All necessary data and code are openly available in the</w:t>
      </w:r>
      <w:r>
        <w:t xml:space="preserve"> </w:t>
      </w:r>
      <w:hyperlink r:id="rId24">
        <w:r>
          <w:rPr>
            <w:rStyle w:val="Hyperlink"/>
          </w:rPr>
          <w:t xml:space="preserve">GitHub repository</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quarto/share/formats/docx/tip.png" id="27" name="Picture"/>
                          <pic:cNvPicPr>
                            <a:picLocks noChangeArrowheads="1" noChangeAspect="1"/>
                          </pic:cNvPicPr>
                        </pic:nvPicPr>
                        <pic:blipFill>
                          <a:blip r:embed="rId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Scope</w:t>
            </w:r>
          </w:p>
        </w:tc>
      </w:tr>
      <w:tr>
        <w:trPr>
          <w:cantSplit/>
        </w:trPr>
        <w:tc>
          <w:tcPr>
            <w:tcMar>
              <w:top w:w="108" w:type="dxa"/>
              <w:bottom w:w="108" w:type="dxa"/>
            </w:tcMar>
          </w:tcPr>
          <w:p>
            <w:pPr>
              <w:pStyle w:val="BodyText"/>
            </w:pPr>
            <w:pPr>
              <w:spacing w:before="16"/>
            </w:pPr>
            <w:r>
              <w:t xml:space="preserve">This article focuses on workflows for deriving condensed metrics from time-series data collected with wearable devices in the visual-experience domain. Specifically, we address illuminance, viewing distance, and spectral irradiance. Example datasets from two types of wearable devices are used for illustration.</w:t>
            </w:r>
          </w:p>
          <w:p>
            <w:pPr>
              <w:pStyle w:val="BodyText"/>
            </w:pPr>
            <w:r>
              <w:t xml:space="preserve">Many relevant considerations arise when collecting data with wearable devices. This article covers only a subset of these. In particular, it does not address:</w:t>
            </w:r>
          </w:p>
          <w:p>
            <w:pPr>
              <w:pStyle w:val="Compact"/>
              <w:numPr>
                <w:ilvl w:val="0"/>
                <w:numId w:val="1001"/>
              </w:numPr>
            </w:pPr>
            <w:r>
              <w:t xml:space="preserve">device selection (see, e.g.,</w:t>
            </w:r>
            <w:r>
              <w:t xml:space="preserve"> </w:t>
            </w:r>
            <w:r>
              <w:t xml:space="preserve">(van Duijnhoven et al. 2025; Johannes Zauner et al. 2025)</w:t>
            </w:r>
            <w:r>
              <w:t xml:space="preserve">)</w:t>
            </w:r>
          </w:p>
          <w:p>
            <w:pPr>
              <w:pStyle w:val="Compact"/>
              <w:numPr>
                <w:ilvl w:val="0"/>
                <w:numId w:val="1001"/>
              </w:numPr>
            </w:pPr>
            <w:r>
              <w:t xml:space="preserve">measurement accuracy or device calibration</w:t>
            </w:r>
          </w:p>
          <w:p>
            <w:pPr>
              <w:pStyle w:val="Compact"/>
              <w:numPr>
                <w:ilvl w:val="0"/>
                <w:numId w:val="1001"/>
              </w:numPr>
            </w:pPr>
            <w:r>
              <w:t xml:space="preserve">auxiliary data such as sleep/wake information (see, e.g.,</w:t>
            </w:r>
            <w:r>
              <w:t xml:space="preserve"> </w:t>
            </w:r>
            <w:r>
              <w:t xml:space="preserve">(J. Zauner et al. 2025; Guidolin et al. 2024)</w:t>
            </w:r>
            <w:r>
              <w:t xml:space="preserve">)</w:t>
            </w:r>
          </w:p>
          <w:p>
            <w:pPr>
              <w:pStyle w:val="FirstParagraph"/>
            </w:pPr>
            <w:r>
              <w:t xml:space="preserve">To demonstrate the workflows, this article uses expert-informed definitions of metrics and metric parameters (see, e.g.,</w:t>
            </w:r>
            <w:r>
              <w:t xml:space="preserve"> </w:t>
            </w:r>
            <w:hyperlink w:anchor="tbl-one">
              <w:r>
                <w:rPr>
                  <w:rStyle w:val="Hyperlink"/>
                </w:rPr>
                <w:t xml:space="preserve">Table 1</w:t>
              </w:r>
            </w:hyperlink>
            <w:r>
              <w:t xml:space="preserve">,</w:t>
            </w:r>
            <w:r>
              <w:t xml:space="preserve"> </w:t>
            </w:r>
            <w:hyperlink w:anchor="tbl-two">
              <w:r>
                <w:rPr>
                  <w:rStyle w:val="Hyperlink"/>
                </w:rPr>
                <w:t xml:space="preserve">Table 2</w:t>
              </w:r>
            </w:hyperlink>
            <w:r>
              <w:t xml:space="preserve">, and the non-wear detection rules based on activity data described in</w:t>
            </w:r>
            <w:r>
              <w:t xml:space="preserve"> </w:t>
            </w:r>
            <w:hyperlink r:id="rId28">
              <w:r>
                <w:rPr>
                  <w:rStyle w:val="Hyperlink"/>
                </w:rPr>
                <w:t xml:space="preserve">Supplement 1</w:t>
              </w:r>
            </w:hyperlink>
            <w:r>
              <w:t xml:space="preserve">). These definitions and thresholds should not be interpreted as universal standards, nor are they hard-coded into the software package. For any application, parameter choices must be tailored to the research domain, study context and design, and the specifications of the wearable device.</w:t>
            </w:r>
          </w:p>
          <w:p>
            <w:pPr>
              <w:pStyle w:val="BodyText"/>
            </w:pPr>
            <w:r>
              <w:t xml:space="preserve">Further, the article is split up in the main analysis part, where all metrics are calculated, and the</w:t>
            </w:r>
            <w:r>
              <w:t xml:space="preserve"> </w:t>
            </w:r>
            <w:hyperlink r:id="rId28">
              <w:r>
                <w:rPr>
                  <w:rStyle w:val="Hyperlink"/>
                </w:rPr>
                <w:t xml:space="preserve">Supplement 1</w:t>
              </w:r>
            </w:hyperlink>
            <w:r>
              <w:t xml:space="preserve">, where data is imported, screened, and prepared. Thus, the reader is referred to</w:t>
            </w:r>
            <w:r>
              <w:t xml:space="preserve"> </w:t>
            </w:r>
            <w:hyperlink r:id="rId28">
              <w:r>
                <w:rPr>
                  <w:rStyle w:val="Hyperlink"/>
                </w:rPr>
                <w:t xml:space="preserve">Supplement 1</w:t>
              </w:r>
            </w:hyperlink>
            <w:r>
              <w:t xml:space="preserve"> </w:t>
            </w:r>
            <w:r>
              <w:t xml:space="preserve">for all aspects regarding data formats, preparation steps, and handling of gaps, i.e., missing data.</w:t>
            </w:r>
          </w:p>
          <w:p>
            <w:pPr>
              <w:pStyle w:val="BodyText"/>
            </w:pPr>
            <w:pPr>
              <w:spacing w:after="16"/>
            </w:pPr>
            <w:r>
              <w:t xml:space="preserve">Lastly, the example data used in the article do not stem from a controlled experimental data collection but consist of pilot data gathered in an ecological setting without a fixed protocol. Given the substantial interindividual differences in visual experience metrics, and because the analyses focus on one participant at a time, the reported results should be interpreted as illustrative rather than representative of typical or population-level values.</w:t>
            </w:r>
          </w:p>
          <w:p/>
        </w:tc>
      </w:tr>
    </w:tbl>
    <w:bookmarkEnd w:id="29"/>
    <w:bookmarkStart w:id="53" w:name="methods-and-materials"/>
    <w:p>
      <w:pPr>
        <w:pStyle w:val="Heading2"/>
      </w:pPr>
      <w:r>
        <w:t xml:space="preserve">Methods and materials</w:t>
      </w:r>
    </w:p>
    <w:bookmarkStart w:id="30" w:name="software"/>
    <w:p>
      <w:pPr>
        <w:pStyle w:val="Heading3"/>
      </w:pPr>
      <w:r>
        <w:t xml:space="preserve">Software</w:t>
      </w:r>
    </w:p>
    <w:p>
      <w:pPr>
        <w:pStyle w:val="FirstParagraph"/>
      </w:pPr>
      <w:r>
        <w:t xml:space="preserve">This tutorial was built with</w:t>
      </w:r>
      <w:r>
        <w:t xml:space="preserve"> </w:t>
      </w:r>
      <w:r>
        <w:rPr>
          <w:rStyle w:val="VerbatimChar"/>
        </w:rPr>
        <w:t xml:space="preserve">Quarto</w:t>
      </w:r>
      <w:r>
        <w:t xml:space="preserve">, an open-source scientific and technical publishing system that integrates text, code, and code output into a single document. The source code to reproduce all results is included and accessible via the Quarto document’s</w:t>
      </w:r>
      <w:r>
        <w:t xml:space="preserve"> </w:t>
      </w:r>
      <w:r>
        <w:rPr>
          <w:rStyle w:val="VerbatimChar"/>
        </w:rPr>
        <w:t xml:space="preserve">code tool</w:t>
      </w:r>
      <w:r>
        <w:t xml:space="preserve"> </w:t>
      </w:r>
      <w:r>
        <w:t xml:space="preserve">menu. All analyses were conducted in R (version 4.5.0,</w:t>
      </w:r>
      <w:r>
        <w:t xml:space="preserve"> </w:t>
      </w:r>
      <w:r>
        <w:t xml:space="preserve">“How About a Twenty-Six”</w:t>
      </w:r>
      <w:r>
        <w:t xml:space="preserve">) using</w:t>
      </w:r>
      <w:r>
        <w:t xml:space="preserve"> </w:t>
      </w:r>
      <w:r>
        <w:rPr>
          <w:rStyle w:val="VerbatimChar"/>
        </w:rPr>
        <w:t xml:space="preserve">LightLogR</w:t>
      </w:r>
      <w:r>
        <w:t xml:space="preserve"> </w:t>
      </w:r>
      <w:r>
        <w:t xml:space="preserve">(version 0.10.0</w:t>
      </w:r>
      <w:r>
        <w:t xml:space="preserve"> </w:t>
      </w:r>
      <w:r>
        <w:t xml:space="preserve">“High noon”</w:t>
      </w:r>
      <w:r>
        <w:t xml:space="preserve">). We also used the</w:t>
      </w:r>
      <w:r>
        <w:t xml:space="preserve"> </w:t>
      </w:r>
      <w:r>
        <w:rPr>
          <w:rStyle w:val="VerbatimChar"/>
        </w:rPr>
        <w:t xml:space="preserve">tidyverse</w:t>
      </w:r>
      <w:r>
        <w:t xml:space="preserve"> </w:t>
      </w:r>
      <w:r>
        <w:t xml:space="preserve">suite (version 2.0.0) for data manipulation (which LightLogR follows in its design), and the</w:t>
      </w:r>
      <w:r>
        <w:t xml:space="preserve"> </w:t>
      </w:r>
      <w:r>
        <w:rPr>
          <w:rStyle w:val="VerbatimChar"/>
        </w:rPr>
        <w:t xml:space="preserve">gt</w:t>
      </w:r>
      <w:r>
        <w:t xml:space="preserve"> </w:t>
      </w:r>
      <w:r>
        <w:t xml:space="preserve">package (version 1.1.0) for generating summary tables. A comprehensive overview of the R computing environment is provided in the session info (see</w:t>
      </w:r>
      <w:r>
        <w:t xml:space="preserve"> </w:t>
      </w:r>
      <w:hyperlink w:anchor="sessioninfo">
        <w:r>
          <w:rPr>
            <w:rStyle w:val="Hyperlink"/>
          </w:rPr>
          <w:t xml:space="preserve">Session info</w:t>
        </w:r>
      </w:hyperlink>
      <w:r>
        <w:t xml:space="preserve"> </w:t>
      </w:r>
      <w:r>
        <w:t xml:space="preserve">section).</w:t>
      </w:r>
    </w:p>
    <w:bookmarkEnd w:id="30"/>
    <w:bookmarkStart w:id="47" w:name="metric-selection-and-definitions"/>
    <w:p>
      <w:pPr>
        <w:pStyle w:val="Heading3"/>
      </w:pPr>
      <w:r>
        <w:t xml:space="preserve">Metric selection and definitions</w:t>
      </w:r>
    </w:p>
    <w:p>
      <w:pPr>
        <w:pStyle w:val="FirstParagraph"/>
      </w:pPr>
      <w:r>
        <w:t xml:space="preserve">In March 2025, two workshops with myopia researchers — initiated by the Research Data Alliance (RDA) Working Group on Optical Radiation Exposure and Visual Experience Data — focused on current needs and future opportunities in data analysis, including the development and standardization of metrics. Based on expert input from these workshops, the authors of this tutorial compiled a list of visual experience metrics, shown in</w:t>
      </w:r>
      <w:r>
        <w:t xml:space="preserve"> </w:t>
      </w:r>
      <w:hyperlink w:anchor="tbl-one">
        <w:r>
          <w:rPr>
            <w:rStyle w:val="Hyperlink"/>
          </w:rPr>
          <w:t xml:space="preserve">Table 1</w:t>
        </w:r>
      </w:hyperlink>
      <w:r>
        <w:t xml:space="preserve">. These include many currently used metrics and definitions</w:t>
      </w:r>
      <w:r>
        <w:t xml:space="preserve"> </w:t>
      </w:r>
      <w:r>
        <w:t xml:space="preserve">(Wen et al. 2020, 2019; Bhandari and Ostrin 2020; Williams et al. 2019)</w:t>
      </w:r>
      <w:r>
        <w:t xml:space="preserve">, as well as new metrics enabled by spectrally-resolved measurements. While they are not derived by a formal consensus process, they are expert-informed and used in current scientific research, and thus will serve as example-definitions for metrics and thresholds throughout this article.</w:t>
      </w:r>
    </w:p>
    <w:tbl>
      <w:tblPr>
        <w:tblStyle w:val="Table"/>
        <w:tblW w:type="pct" w:w="5000"/>
        <w:tblLayout w:type="fixed"/>
        <w:tblLook w:firstRow="0" w:lastRow="0" w:firstColumn="0" w:lastColumn="0" w:noHBand="0" w:noVBand="0" w:val="0000"/>
      </w:tblPr>
      <w:tblGrid>
        <w:gridCol w:w="7920"/>
      </w:tblGrid>
      <w:tr>
        <w:tc>
          <w:tcPr/>
          <w:bookmarkStart w:id="43" w:name="tbl-one"/>
          <w:p>
            <w:pPr>
              <w:jc w:val="center"/>
            </w:pPr>
            <w:pPr>
              <w:jc w:val="left"/>
              <w:spacing w:before="200"/>
              <w:pStyle w:val="ImageCaption"/>
            </w:pPr>
            <w:r>
              <w:t xml:space="preserve">Table 1: Overview of metrics as they are used in this article. In all cases, the averages for weekday, weekend, and the mean daily value are calculated through [mean_daily](</w:t>
            </w:r>
            <w:hyperlink r:id="rId31">
              <w:r>
                <w:rPr>
                  <w:rStyle w:val="Hyperlink"/>
                </w:rPr>
                <w:t xml:space="preserve">https://tscnlab.github.io/LightLogR/reference/mean_daily.html</w:t>
              </w:r>
            </w:hyperlink>
            <w:r>
              <w:t xml:space="preserve">).</w:t>
            </w:r>
          </w:p>
          <w:tbl>
            <w:tblPr>
              <w:tblStyle w:val="Table"/>
              <w:tblW w:type="pct" w:w="4977"/>
              <w:tblLayout w:type="fixed"/>
              <w:tblLook w:firstRow="1" w:lastRow="0" w:firstColumn="0" w:lastColumn="0" w:noHBand="0" w:noVBand="0" w:val="0020"/>
            </w:tblPr>
            <w:tblGrid>
              <w:gridCol w:w="468"/>
              <w:gridCol w:w="3204"/>
              <w:gridCol w:w="4212"/>
            </w:tblGrid>
            <w:tr>
              <w:trPr>
                <w:tblHeader w:val="on"/>
              </w:trPr>
              <w:tc>
                <w:tcPr/>
                <w:p>
                  <w:pPr>
                    <w:pStyle w:val="Compact"/>
                    <w:jc w:val="center"/>
                  </w:pPr>
                  <w:r>
                    <w:t xml:space="preserve">No.</w:t>
                  </w:r>
                </w:p>
              </w:tc>
              <w:tc>
                <w:tcPr/>
                <w:p>
                  <w:pPr>
                    <w:pStyle w:val="Compact"/>
                    <w:jc w:val="center"/>
                  </w:pPr>
                  <w:r>
                    <w:t xml:space="preserve">Name</w:t>
                  </w:r>
                </w:p>
              </w:tc>
              <w:tc>
                <w:tcPr/>
                <w:p>
                  <w:pPr>
                    <w:pStyle w:val="Compact"/>
                    <w:jc w:val="center"/>
                  </w:pPr>
                  <w:r>
                    <w:t xml:space="preserve">Implementation</w:t>
                  </w:r>
                  <w:r>
                    <w:rPr>
                      <w:rStyle w:val="FootnoteReference"/>
                    </w:rPr>
                    <w:footnoteReference w:id="32"/>
                  </w:r>
                </w:p>
              </w:tc>
            </w:tr>
            <w:tr>
              <w:tc>
                <w:tcPr/>
                <w:p>
                  <w:pPr>
                    <w:pStyle w:val="Compact"/>
                  </w:pPr>
                </w:p>
              </w:tc>
              <w:tc>
                <w:tcPr/>
                <w:p>
                  <w:pPr>
                    <w:pStyle w:val="Compact"/>
                    <w:jc w:val="center"/>
                  </w:pPr>
                  <w:r>
                    <w:rPr>
                      <w:b/>
                      <w:bCs/>
                    </w:rPr>
                    <w:t xml:space="preserve">Distance</w:t>
                  </w:r>
                </w:p>
              </w:tc>
              <w:tc>
                <w:tcPr/>
                <w:p>
                  <w:pPr>
                    <w:pStyle w:val="Compact"/>
                  </w:pPr>
                </w:p>
              </w:tc>
            </w:tr>
            <w:tr>
              <w:tc>
                <w:tcPr/>
                <w:p>
                  <w:pPr>
                    <w:pStyle w:val="Compact"/>
                    <w:jc w:val="center"/>
                  </w:pPr>
                  <w:r>
                    <w:t xml:space="preserve">1</w:t>
                  </w:r>
                </w:p>
              </w:tc>
              <w:tc>
                <w:tcPr/>
                <w:p>
                  <w:pPr>
                    <w:pStyle w:val="Compact"/>
                    <w:jc w:val="center"/>
                  </w:pPr>
                  <w:r>
                    <w:t xml:space="preserve">Total wear time daily</w:t>
                  </w:r>
                </w:p>
              </w:tc>
              <w:tc>
                <w:tcPr/>
                <w:p>
                  <w:pPr>
                    <w:pStyle w:val="Compact"/>
                    <w:jc w:val="center"/>
                  </w:pPr>
                  <w:hyperlink r:id="rId33">
                    <w:r>
                      <w:rPr>
                        <w:rStyle w:val="Hyperlink"/>
                      </w:rPr>
                      <w:t xml:space="preserve">durations()</w:t>
                    </w:r>
                  </w:hyperlink>
                </w:p>
              </w:tc>
            </w:tr>
            <w:tr>
              <w:tc>
                <w:tcPr/>
                <w:p>
                  <w:pPr>
                    <w:pStyle w:val="Compact"/>
                    <w:jc w:val="center"/>
                  </w:pPr>
                  <w:r>
                    <w:t xml:space="preserve">2</w:t>
                  </w:r>
                </w:p>
              </w:tc>
              <w:tc>
                <w:tcPr/>
                <w:p>
                  <w:pPr>
                    <w:jc w:val="center"/>
                  </w:pPr>
                  <w:r>
                    <w:t xml:space="preserve">Duration of</w:t>
                  </w:r>
                  <w:r>
                    <w:br/>
                  </w:r>
                  <w:r>
                    <w:rPr>
                      <w:i/>
                      <w:iCs/>
                    </w:rPr>
                    <w:t xml:space="preserve">Near work,</w:t>
                  </w:r>
                  <w:r>
                    <w:br/>
                  </w:r>
                  <w:r>
                    <w:rPr>
                      <w:i/>
                      <w:iCs/>
                    </w:rPr>
                    <w:t xml:space="preserve">Intermediate Work,</w:t>
                  </w:r>
                  <w:r>
                    <w:br/>
                  </w:r>
                  <w:r>
                    <w:rPr>
                      <w:i/>
                      <w:iCs/>
                    </w:rPr>
                    <w:t xml:space="preserve">Near + Intermediate Work,</w:t>
                  </w:r>
                  <w:r>
                    <w:t xml:space="preserve"> </w:t>
                  </w:r>
                  <w:r>
                    <w:t xml:space="preserve">or</w:t>
                  </w:r>
                </w:p>
                <w:p>
                  <w:pPr>
                    <w:jc w:val="center"/>
                  </w:pPr>
                  <w:r>
                    <w:t xml:space="preserve">per each</w:t>
                  </w:r>
                  <w:r>
                    <w:t xml:space="preserve"> </w:t>
                  </w:r>
                  <w:r>
                    <w:rPr>
                      <w:i/>
                      <w:iCs/>
                    </w:rPr>
                    <w:t xml:space="preserve">Distance range</w:t>
                  </w:r>
                  <w:r>
                    <w:br/>
                  </w:r>
                  <w:r>
                    <w:t xml:space="preserve">(10cm steps)</w:t>
                  </w:r>
                </w:p>
              </w:tc>
              <w:tc>
                <w:tcPr/>
                <w:p>
                  <w:pPr>
                    <w:jc w:val="center"/>
                  </w:pPr>
                  <w:r>
                    <w:t xml:space="preserve">filter for distance range +</w:t>
                  </w:r>
                </w:p>
                <w:p>
                  <w:pPr>
                    <w:jc w:val="center"/>
                  </w:pPr>
                  <w:hyperlink r:id="rId33">
                    <w:r>
                      <w:rPr>
                        <w:rStyle w:val="Hyperlink"/>
                      </w:rPr>
                      <w:t xml:space="preserve">durations()</w:t>
                    </w:r>
                  </w:hyperlink>
                  <w:r>
                    <w:t xml:space="preserve"> </w:t>
                  </w:r>
                  <w:r>
                    <w:t xml:space="preserve">(for single ranges)</w:t>
                  </w:r>
                </w:p>
                <w:p>
                  <w:pPr>
                    <w:jc w:val="center"/>
                  </w:pPr>
                  <w:r>
                    <w:t xml:space="preserve">or</w:t>
                  </w:r>
                </w:p>
                <w:p>
                  <w:pPr>
                    <w:jc w:val="center"/>
                  </w:pPr>
                  <w:r>
                    <w:t xml:space="preserve">grouping by distance range +</w:t>
                  </w:r>
                </w:p>
                <w:p>
                  <w:pPr>
                    <w:jc w:val="center"/>
                  </w:pPr>
                  <w:hyperlink r:id="rId33">
                    <w:r>
                      <w:rPr>
                        <w:rStyle w:val="Hyperlink"/>
                      </w:rPr>
                      <w:t xml:space="preserve">durations()</w:t>
                    </w:r>
                  </w:hyperlink>
                  <w:r>
                    <w:t xml:space="preserve"> </w:t>
                  </w:r>
                  <w:r>
                    <w:t xml:space="preserve">(for all ranges)</w:t>
                  </w:r>
                </w:p>
              </w:tc>
            </w:tr>
            <w:tr>
              <w:tc>
                <w:tcPr/>
                <w:p>
                  <w:pPr>
                    <w:pStyle w:val="Compact"/>
                    <w:jc w:val="center"/>
                  </w:pPr>
                  <w:r>
                    <w:t xml:space="preserve">3</w:t>
                  </w:r>
                </w:p>
              </w:tc>
              <w:tc>
                <w:tcPr/>
                <w:p>
                  <w:pPr>
                    <w:pStyle w:val="Compact"/>
                    <w:jc w:val="center"/>
                  </w:pPr>
                  <w:r>
                    <w:t xml:space="preserve">Frequency of</w:t>
                  </w:r>
                  <w:r>
                    <w:br/>
                  </w:r>
                  <w:r>
                    <w:rPr>
                      <w:i/>
                      <w:iCs/>
                    </w:rPr>
                    <w:t xml:space="preserve">Continuous near work</w:t>
                  </w:r>
                </w:p>
              </w:tc>
              <w:tc>
                <w:tcPr/>
                <w:p>
                  <w:pPr>
                    <w:jc w:val="center"/>
                  </w:pPr>
                  <w:hyperlink r:id="rId34">
                    <w:r>
                      <w:rPr>
                        <w:rStyle w:val="Hyperlink"/>
                      </w:rPr>
                      <w:t xml:space="preserve">extract_clusters()</w:t>
                    </w:r>
                  </w:hyperlink>
                  <w:r>
                    <w:t xml:space="preserve"> </w:t>
                  </w:r>
                  <w:r>
                    <w:t xml:space="preserve">+</w:t>
                  </w:r>
                </w:p>
                <w:p>
                  <w:pPr>
                    <w:jc w:val="center"/>
                  </w:pPr>
                  <w:hyperlink r:id="rId35">
                    <w:r>
                      <w:rPr>
                        <w:rStyle w:val="Hyperlink"/>
                      </w:rPr>
                      <w:t xml:space="preserve">summarize_numeric()</w:t>
                    </w:r>
                  </w:hyperlink>
                </w:p>
              </w:tc>
            </w:tr>
            <w:tr>
              <w:tc>
                <w:tcPr/>
                <w:p>
                  <w:pPr>
                    <w:pStyle w:val="Compact"/>
                    <w:jc w:val="center"/>
                  </w:pPr>
                  <w:r>
                    <w:t xml:space="preserve">4</w:t>
                  </w:r>
                </w:p>
              </w:tc>
              <w:tc>
                <w:tcPr/>
                <w:p>
                  <w:pPr>
                    <w:pStyle w:val="Compact"/>
                    <w:jc w:val="center"/>
                  </w:pPr>
                  <w:r>
                    <w:t xml:space="preserve">Frequency,</w:t>
                  </w:r>
                  <w:r>
                    <w:br/>
                  </w:r>
                  <w:r>
                    <w:t xml:space="preserve">duration,</w:t>
                  </w:r>
                  <w:r>
                    <w:br/>
                  </w:r>
                  <w:r>
                    <w:t xml:space="preserve">and distances of</w:t>
                  </w:r>
                  <w:r>
                    <w:br/>
                  </w:r>
                  <w:r>
                    <w:rPr>
                      <w:i/>
                      <w:iCs/>
                    </w:rPr>
                    <w:t xml:space="preserve">Near Work episodes</w:t>
                  </w:r>
                </w:p>
              </w:tc>
              <w:tc>
                <w:tcPr/>
                <w:p>
                  <w:pPr>
                    <w:jc w:val="center"/>
                  </w:pPr>
                  <w:hyperlink r:id="rId34">
                    <w:r>
                      <w:rPr>
                        <w:rStyle w:val="Hyperlink"/>
                      </w:rPr>
                      <w:t xml:space="preserve">extract_clusters()</w:t>
                    </w:r>
                  </w:hyperlink>
                  <w:r>
                    <w:t xml:space="preserve"> </w:t>
                  </w:r>
                  <w:r>
                    <w:t xml:space="preserve">+</w:t>
                  </w:r>
                </w:p>
                <w:p>
                  <w:pPr>
                    <w:jc w:val="center"/>
                  </w:pPr>
                  <w:hyperlink r:id="rId36">
                    <w:r>
                      <w:rPr>
                        <w:rStyle w:val="Hyperlink"/>
                      </w:rPr>
                      <w:t xml:space="preserve">extract_metric()</w:t>
                    </w:r>
                  </w:hyperlink>
                  <w:r>
                    <w:t xml:space="preserve"> </w:t>
                  </w:r>
                  <w:r>
                    <w:t xml:space="preserve">+</w:t>
                  </w:r>
                </w:p>
                <w:p>
                  <w:pPr>
                    <w:jc w:val="center"/>
                  </w:pPr>
                  <w:hyperlink r:id="rId35">
                    <w:r>
                      <w:rPr>
                        <w:rStyle w:val="Hyperlink"/>
                      </w:rPr>
                      <w:t xml:space="preserve">summarize_numeric()</w:t>
                    </w:r>
                  </w:hyperlink>
                </w:p>
              </w:tc>
            </w:tr>
            <w:tr>
              <w:tc>
                <w:tcPr/>
                <w:p>
                  <w:pPr>
                    <w:pStyle w:val="Compact"/>
                    <w:jc w:val="center"/>
                  </w:pPr>
                  <w:r>
                    <w:t xml:space="preserve">5</w:t>
                  </w:r>
                </w:p>
              </w:tc>
              <w:tc>
                <w:tcPr/>
                <w:p>
                  <w:pPr>
                    <w:pStyle w:val="Compact"/>
                    <w:jc w:val="center"/>
                  </w:pPr>
                  <w:r>
                    <w:t xml:space="preserve">Frequency and duration of</w:t>
                  </w:r>
                  <w:r>
                    <w:t xml:space="preserve"> </w:t>
                  </w:r>
                  <w:r>
                    <w:rPr>
                      <w:i/>
                      <w:iCs/>
                    </w:rPr>
                    <w:t xml:space="preserve">Visual breaks</w:t>
                  </w:r>
                </w:p>
              </w:tc>
              <w:tc>
                <w:tcPr/>
                <w:p>
                  <w:pPr>
                    <w:jc w:val="center"/>
                  </w:pPr>
                  <w:hyperlink r:id="rId34">
                    <w:r>
                      <w:rPr>
                        <w:rStyle w:val="Hyperlink"/>
                      </w:rPr>
                      <w:t xml:space="preserve">extract_clusters()</w:t>
                    </w:r>
                  </w:hyperlink>
                  <w:r>
                    <w:t xml:space="preserve"> </w:t>
                  </w:r>
                  <w:r>
                    <w:t xml:space="preserve">+</w:t>
                  </w:r>
                </w:p>
                <w:p>
                  <w:pPr>
                    <w:jc w:val="center"/>
                  </w:pPr>
                  <w:r>
                    <w:t xml:space="preserve">filter</w:t>
                  </w:r>
                </w:p>
              </w:tc>
            </w:tr>
            <w:tr>
              <w:tc>
                <w:tcPr/>
                <w:p>
                  <w:pPr>
                    <w:pStyle w:val="Compact"/>
                  </w:pPr>
                </w:p>
              </w:tc>
              <w:tc>
                <w:tcPr/>
                <w:p>
                  <w:pPr>
                    <w:pStyle w:val="Compact"/>
                    <w:jc w:val="center"/>
                  </w:pPr>
                  <w:r>
                    <w:rPr>
                      <w:b/>
                      <w:bCs/>
                    </w:rPr>
                    <w:t xml:space="preserve">Light</w:t>
                  </w:r>
                </w:p>
              </w:tc>
              <w:tc>
                <w:tcPr/>
                <w:p>
                  <w:pPr>
                    <w:pStyle w:val="Compact"/>
                  </w:pPr>
                </w:p>
              </w:tc>
            </w:tr>
            <w:tr>
              <w:tc>
                <w:tcPr/>
                <w:p>
                  <w:pPr>
                    <w:pStyle w:val="Compact"/>
                    <w:jc w:val="center"/>
                  </w:pPr>
                  <w:r>
                    <w:t xml:space="preserve">6</w:t>
                  </w:r>
                </w:p>
              </w:tc>
              <w:tc>
                <w:tcPr/>
                <w:p>
                  <w:pPr>
                    <w:pStyle w:val="Compact"/>
                    <w:jc w:val="center"/>
                  </w:pPr>
                  <w:r>
                    <w:t xml:space="preserve">Light exposure (in lux)</w:t>
                  </w:r>
                </w:p>
              </w:tc>
              <w:tc>
                <w:tcPr/>
                <w:p>
                  <w:pPr>
                    <w:pStyle w:val="Compact"/>
                    <w:jc w:val="center"/>
                  </w:pPr>
                  <w:hyperlink r:id="rId35">
                    <w:r>
                      <w:rPr>
                        <w:rStyle w:val="Hyperlink"/>
                      </w:rPr>
                      <w:t xml:space="preserve">summarize_numeric()</w:t>
                    </w:r>
                  </w:hyperlink>
                </w:p>
              </w:tc>
            </w:tr>
            <w:tr>
              <w:tc>
                <w:tcPr/>
                <w:p>
                  <w:pPr>
                    <w:pStyle w:val="Compact"/>
                    <w:jc w:val="center"/>
                  </w:pPr>
                  <w:r>
                    <w:t xml:space="preserve">7</w:t>
                  </w:r>
                </w:p>
              </w:tc>
              <w:tc>
                <w:tcPr/>
                <w:p>
                  <w:pPr>
                    <w:pStyle w:val="Compact"/>
                    <w:jc w:val="center"/>
                  </w:pPr>
                  <w:r>
                    <w:t xml:space="preserve">Duration per</w:t>
                  </w:r>
                  <w:r>
                    <w:t xml:space="preserve"> </w:t>
                  </w:r>
                  <w:r>
                    <w:rPr>
                      <w:i/>
                      <w:iCs/>
                    </w:rPr>
                    <w:t xml:space="preserve">Outdoor range</w:t>
                  </w:r>
                </w:p>
              </w:tc>
              <w:tc>
                <w:tcPr/>
                <w:p>
                  <w:pPr>
                    <w:jc w:val="center"/>
                  </w:pPr>
                  <w:r>
                    <w:t xml:space="preserve">grouping by Outdoor range +</w:t>
                  </w:r>
                </w:p>
                <w:p>
                  <w:pPr>
                    <w:jc w:val="center"/>
                  </w:pPr>
                  <w:hyperlink r:id="rId33">
                    <w:r>
                      <w:rPr>
                        <w:rStyle w:val="Hyperlink"/>
                      </w:rPr>
                      <w:t xml:space="preserve">durations()</w:t>
                    </w:r>
                  </w:hyperlink>
                </w:p>
              </w:tc>
            </w:tr>
            <w:tr>
              <w:tc>
                <w:tcPr/>
                <w:p>
                  <w:pPr>
                    <w:pStyle w:val="Compact"/>
                    <w:jc w:val="center"/>
                  </w:pPr>
                  <w:r>
                    <w:t xml:space="preserve">8</w:t>
                  </w:r>
                </w:p>
              </w:tc>
              <w:tc>
                <w:tcPr/>
                <w:p>
                  <w:pPr>
                    <w:pStyle w:val="Compact"/>
                    <w:jc w:val="center"/>
                  </w:pPr>
                  <w:r>
                    <w:t xml:space="preserve">The number of times light level changes from indoor (&lt;1000 lx) to outdoor (&gt;1000 lx)</w:t>
                  </w:r>
                </w:p>
              </w:tc>
              <w:tc>
                <w:tcPr/>
                <w:p>
                  <w:pPr>
                    <w:jc w:val="center"/>
                  </w:pPr>
                  <w:hyperlink r:id="rId37">
                    <w:r>
                      <w:rPr>
                        <w:rStyle w:val="Hyperlink"/>
                      </w:rPr>
                      <w:t xml:space="preserve">extract_states()</w:t>
                    </w:r>
                  </w:hyperlink>
                  <w:r>
                    <w:t xml:space="preserve"> </w:t>
                  </w:r>
                  <w:r>
                    <w:t xml:space="preserve">+</w:t>
                  </w:r>
                </w:p>
                <w:p>
                  <w:pPr>
                    <w:jc w:val="center"/>
                  </w:pPr>
                  <w:hyperlink r:id="rId35">
                    <w:r>
                      <w:rPr>
                        <w:rStyle w:val="Hyperlink"/>
                      </w:rPr>
                      <w:t xml:space="preserve">summarize_numeric()</w:t>
                    </w:r>
                  </w:hyperlink>
                </w:p>
              </w:tc>
            </w:tr>
            <w:tr>
              <w:tc>
                <w:tcPr/>
                <w:p>
                  <w:pPr>
                    <w:pStyle w:val="Compact"/>
                    <w:jc w:val="center"/>
                  </w:pPr>
                  <w:r>
                    <w:t xml:space="preserve">9</w:t>
                  </w:r>
                </w:p>
              </w:tc>
              <w:tc>
                <w:tcPr/>
                <w:p>
                  <w:pPr>
                    <w:pStyle w:val="Compact"/>
                    <w:jc w:val="center"/>
                  </w:pPr>
                  <w:r>
                    <w:t xml:space="preserve">Longest period above 1000 lx</w:t>
                  </w:r>
                </w:p>
              </w:tc>
              <w:tc>
                <w:tcPr/>
                <w:p>
                  <w:pPr>
                    <w:pStyle w:val="Compact"/>
                    <w:jc w:val="center"/>
                  </w:pPr>
                  <w:hyperlink r:id="rId38">
                    <w:r>
                      <w:rPr>
                        <w:rStyle w:val="Hyperlink"/>
                      </w:rPr>
                      <w:t xml:space="preserve">period_above_threshold()</w:t>
                    </w:r>
                  </w:hyperlink>
                </w:p>
              </w:tc>
            </w:tr>
            <w:tr>
              <w:tc>
                <w:tcPr/>
                <w:p>
                  <w:pPr>
                    <w:pStyle w:val="Compact"/>
                  </w:pPr>
                </w:p>
              </w:tc>
              <w:tc>
                <w:tcPr/>
                <w:p>
                  <w:pPr>
                    <w:pStyle w:val="Compact"/>
                    <w:jc w:val="center"/>
                  </w:pPr>
                  <w:r>
                    <w:rPr>
                      <w:b/>
                      <w:bCs/>
                    </w:rPr>
                    <w:t xml:space="preserve">Spectrum</w:t>
                  </w:r>
                </w:p>
              </w:tc>
              <w:tc>
                <w:tcPr/>
                <w:p>
                  <w:pPr>
                    <w:pStyle w:val="Compact"/>
                  </w:pPr>
                </w:p>
              </w:tc>
            </w:tr>
            <w:tr>
              <w:tc>
                <w:tcPr/>
                <w:p>
                  <w:pPr>
                    <w:pStyle w:val="Compact"/>
                    <w:jc w:val="center"/>
                  </w:pPr>
                  <w:r>
                    <w:t xml:space="preserve">10</w:t>
                  </w:r>
                </w:p>
              </w:tc>
              <w:tc>
                <w:tcPr/>
                <w:p>
                  <w:pPr>
                    <w:pStyle w:val="Compact"/>
                    <w:jc w:val="center"/>
                  </w:pPr>
                  <w:r>
                    <w:t xml:space="preserve">Ratio of short vs. long wavelength light</w:t>
                  </w:r>
                </w:p>
              </w:tc>
              <w:tc>
                <w:tcPr/>
                <w:p>
                  <w:pPr>
                    <w:jc w:val="center"/>
                  </w:pPr>
                  <w:hyperlink r:id="rId39">
                    <w:r>
                      <w:rPr>
                        <w:rStyle w:val="Hyperlink"/>
                      </w:rPr>
                      <w:t xml:space="preserve">spectral_integration()</w:t>
                    </w:r>
                  </w:hyperlink>
                  <w:r>
                    <w:t xml:space="preserve"> </w:t>
                  </w:r>
                  <w:r>
                    <w:t xml:space="preserve">+</w:t>
                  </w:r>
                </w:p>
                <w:p>
                  <w:pPr>
                    <w:jc w:val="center"/>
                  </w:pPr>
                  <w:hyperlink r:id="rId35">
                    <w:r>
                      <w:rPr>
                        <w:rStyle w:val="Hyperlink"/>
                      </w:rPr>
                      <w:t xml:space="preserve">summarize_numeric()</w:t>
                    </w:r>
                  </w:hyperlink>
                </w:p>
              </w:tc>
            </w:tr>
            <w:tr>
              <w:tc>
                <w:tcPr/>
                <w:p>
                  <w:pPr>
                    <w:pStyle w:val="Compact"/>
                    <w:jc w:val="center"/>
                  </w:pPr>
                  <w:r>
                    <w:t xml:space="preserve">11</w:t>
                  </w:r>
                </w:p>
              </w:tc>
              <w:tc>
                <w:tcPr/>
                <w:p>
                  <w:pPr>
                    <w:pStyle w:val="Compact"/>
                    <w:jc w:val="center"/>
                  </w:pPr>
                  <w:r>
                    <w:t xml:space="preserve">Melanopic daylight efficacy ratio (MDER)</w:t>
                  </w:r>
                </w:p>
              </w:tc>
              <w:tc>
                <w:tcPr/>
                <w:p>
                  <w:pPr>
                    <w:jc w:val="center"/>
                  </w:pPr>
                  <w:hyperlink r:id="rId39">
                    <w:r>
                      <w:rPr>
                        <w:rStyle w:val="Hyperlink"/>
                      </w:rPr>
                      <w:t xml:space="preserve">spectral_integration()</w:t>
                    </w:r>
                  </w:hyperlink>
                  <w:r>
                    <w:t xml:space="preserve"> </w:t>
                  </w:r>
                  <w:r>
                    <w:t xml:space="preserve">+</w:t>
                  </w:r>
                </w:p>
                <w:p>
                  <w:pPr>
                    <w:jc w:val="center"/>
                  </w:pPr>
                  <w:hyperlink r:id="rId35">
                    <w:r>
                      <w:rPr>
                        <w:rStyle w:val="Hyperlink"/>
                      </w:rPr>
                      <w:t xml:space="preserve">summarize_numeric()</w:t>
                    </w:r>
                  </w:hyperlink>
                </w:p>
              </w:tc>
            </w:tr>
            <w:tr>
              <w:tc>
                <w:tcPr/>
                <w:p>
                  <w:pPr>
                    <w:pStyle w:val="Compact"/>
                    <w:jc w:val="center"/>
                  </w:pPr>
                  <w:r>
                    <w:t xml:space="preserve">12</w:t>
                  </w:r>
                </w:p>
              </w:tc>
              <w:tc>
                <w:tcPr/>
                <w:p>
                  <w:pPr>
                    <w:pStyle w:val="Compact"/>
                    <w:jc w:val="center"/>
                  </w:pPr>
                  <w:r>
                    <w:t xml:space="preserve">Short-wavelength light at certain times of day</w:t>
                  </w:r>
                </w:p>
              </w:tc>
              <w:tc>
                <w:tcPr/>
                <w:p>
                  <w:pPr>
                    <w:jc w:val="center"/>
                  </w:pPr>
                  <w:hyperlink r:id="rId39">
                    <w:r>
                      <w:rPr>
                        <w:rStyle w:val="Hyperlink"/>
                      </w:rPr>
                      <w:t xml:space="preserve">spectral_integration()</w:t>
                    </w:r>
                  </w:hyperlink>
                  <w:r>
                    <w:t xml:space="preserve"> </w:t>
                  </w:r>
                  <w:r>
                    <w:t xml:space="preserve">+</w:t>
                  </w:r>
                </w:p>
                <w:p>
                  <w:pPr>
                    <w:jc w:val="center"/>
                  </w:pPr>
                  <w:hyperlink r:id="rId40">
                    <w:r>
                      <w:rPr>
                        <w:rStyle w:val="Hyperlink"/>
                      </w:rPr>
                      <w:t xml:space="preserve">filter_Time()</w:t>
                    </w:r>
                  </w:hyperlink>
                  <w:r>
                    <w:t xml:space="preserve"> </w:t>
                  </w:r>
                  <w:r>
                    <w:t xml:space="preserve">(for defined times) or</w:t>
                  </w:r>
                  <w:r>
                    <w:br/>
                  </w:r>
                  <w:hyperlink r:id="rId41">
                    <w:r>
                      <w:rPr>
                        <w:rStyle w:val="Hyperlink"/>
                      </w:rPr>
                      <w:t xml:space="preserve">cut_Datetime()</w:t>
                    </w:r>
                  </w:hyperlink>
                  <w:r>
                    <w:t xml:space="preserve"> </w:t>
                  </w:r>
                  <w:r>
                    <w:t xml:space="preserve">(for regular time intervals) or</w:t>
                  </w:r>
                  <w:r>
                    <w:br/>
                  </w:r>
                  <w:hyperlink r:id="rId42">
                    <w:r>
                      <w:rPr>
                        <w:rStyle w:val="Hyperlink"/>
                      </w:rPr>
                      <w:t xml:space="preserve">add_photoperiod()</w:t>
                    </w:r>
                  </w:hyperlink>
                  <w:r>
                    <w:t xml:space="preserve"> </w:t>
                  </w:r>
                  <w:r>
                    <w:t xml:space="preserve">(for solar times) +</w:t>
                  </w:r>
                </w:p>
                <w:p>
                  <w:pPr>
                    <w:jc w:val="center"/>
                  </w:pPr>
                  <w:r>
                    <w:t xml:space="preserve">grouping by time state +</w:t>
                  </w:r>
                </w:p>
                <w:p>
                  <w:pPr>
                    <w:jc w:val="center"/>
                  </w:pPr>
                  <w:hyperlink r:id="rId35">
                    <w:r>
                      <w:rPr>
                        <w:rStyle w:val="Hyperlink"/>
                      </w:rPr>
                      <w:t xml:space="preserve">summarize_numeric()</w:t>
                    </w:r>
                  </w:hyperlink>
                </w:p>
              </w:tc>
            </w:tr>
          </w:tbl>
          <w:bookmarkEnd w:id="43"/>
          <w:p/>
        </w:tc>
      </w:tr>
    </w:tbl>
    <w:p>
      <w:pPr>
        <w:pStyle w:val="BodyText"/>
      </w:pPr>
      <w:hyperlink w:anchor="tbl-two">
        <w:r>
          <w:rPr>
            <w:rStyle w:val="Hyperlink"/>
          </w:rPr>
          <w:t xml:space="preserve">Table 2</w:t>
        </w:r>
      </w:hyperlink>
      <w:r>
        <w:t xml:space="preserve"> </w:t>
      </w:r>
      <w:r>
        <w:t xml:space="preserve">provides definitions for the terms used in</w:t>
      </w:r>
      <w:r>
        <w:t xml:space="preserve"> </w:t>
      </w:r>
      <w:hyperlink w:anchor="tbl-one">
        <w:r>
          <w:rPr>
            <w:rStyle w:val="Hyperlink"/>
          </w:rPr>
          <w:t xml:space="preserve">Table 1</w:t>
        </w:r>
      </w:hyperlink>
      <w:r>
        <w:t xml:space="preserve">. Note that specific definitions may vary depending on the research question or device capabilities.</w:t>
      </w:r>
    </w:p>
    <w:tbl>
      <w:tblPr>
        <w:tblStyle w:val="Table"/>
        <w:tblW w:type="pct" w:w="5000"/>
        <w:tblLayout w:type="fixed"/>
        <w:tblLook w:firstRow="0" w:lastRow="0" w:firstColumn="0" w:lastColumn="0" w:noHBand="0" w:noVBand="0" w:val="0000"/>
      </w:tblPr>
      <w:tblGrid>
        <w:gridCol w:w="7920"/>
      </w:tblGrid>
      <w:tr>
        <w:tc>
          <w:tcPr/>
          <w:bookmarkStart w:id="46" w:name="tbl-two"/>
          <w:p>
            <w:pPr>
              <w:jc w:val="center"/>
            </w:pPr>
            <w:pPr>
              <w:jc w:val="left"/>
              <w:spacing w:before="200"/>
              <w:pStyle w:val="ImageCaption"/>
            </w:pPr>
            <w:r>
              <w:t xml:space="preserve">Table 2: Definitions of mean daily and conditions for distance and illuminance calculation as used in the article</w:t>
            </w:r>
          </w:p>
          <w:tbl>
            <w:tblPr>
              <w:tblStyle w:val="Table"/>
              <w:tblW w:type="pct" w:w="5000"/>
              <w:tblLayout w:type="fixed"/>
              <w:tblLook w:firstRow="1" w:lastRow="0" w:firstColumn="0" w:lastColumn="0" w:noHBand="0" w:noVBand="0" w:val="0020"/>
            </w:tblPr>
            <w:tblGrid>
              <w:gridCol w:w="793"/>
              <w:gridCol w:w="7126"/>
            </w:tblGrid>
            <w:tr>
              <w:trPr>
                <w:tblHeader w:val="on"/>
              </w:trPr>
              <w:tc>
                <w:tcPr/>
                <w:p>
                  <w:pPr>
                    <w:pStyle w:val="Compact"/>
                    <w:jc w:val="center"/>
                  </w:pPr>
                  <w:r>
                    <w:t xml:space="preserve">Metric</w:t>
                  </w:r>
                </w:p>
              </w:tc>
              <w:tc>
                <w:tcPr/>
                <w:p>
                  <w:pPr>
                    <w:pStyle w:val="Compact"/>
                    <w:jc w:val="center"/>
                  </w:pPr>
                  <w:r>
                    <w:t xml:space="preserve">Description / pseudo formula</w:t>
                  </w:r>
                </w:p>
              </w:tc>
            </w:tr>
            <w:tr>
              <w:tc>
                <w:tcPr/>
                <w:p>
                  <w:pPr>
                    <w:pStyle w:val="Compact"/>
                    <w:jc w:val="center"/>
                  </w:pPr>
                  <w:r>
                    <w:t xml:space="preserve">Total wear time</w:t>
                  </w:r>
                </w:p>
              </w:tc>
              <w:tc>
                <w:tcPr/>
                <w:p>
                  <w:pPr>
                    <w:pStyle w:val="Compact"/>
                    <w:jc w:val="center"/>
                  </w:pPr>
                  <m:oMath>
                    <m:r>
                      <m:rPr>
                        <m:sty m:val="p"/>
                      </m:rPr>
                      <m:t>∑</m:t>
                    </m:r>
                    <m:d>
                      <m:dPr>
                        <m:begChr m:val="("/>
                        <m:sepChr m:val=""/>
                        <m:endChr m:val=")"/>
                        <m:grow/>
                      </m:dPr>
                      <m:e>
                        <m:r>
                          <m:t>t</m:t>
                        </m:r>
                      </m:e>
                    </m:d>
                    <m:r>
                      <m:rPr>
                        <m:sty m:val="p"/>
                      </m:rPr>
                      <m:t>*</m:t>
                    </m:r>
                    <m:r>
                      <m:t>d</m:t>
                    </m:r>
                    <m:r>
                      <m:t>t</m:t>
                    </m:r>
                    <m:r>
                      <m:rPr>
                        <m:sty m:val="p"/>
                      </m:rPr>
                      <m:t>,</m:t>
                    </m:r>
                    <m:r>
                      <m:rPr>
                        <m:nor/>
                        <m:sty m:val="p"/>
                      </m:rPr>
                      <m:t> where </m:t>
                    </m:r>
                    <m:r>
                      <m:t>t</m:t>
                    </m:r>
                    <m:r>
                      <m:rPr>
                        <m:nor/>
                        <m:sty m:val="p"/>
                      </m:rPr>
                      <m:t>: valid observations </m:t>
                    </m:r>
                  </m:oMath>
                </w:p>
              </w:tc>
            </w:tr>
            <w:tr>
              <w:tc>
                <w:tcPr/>
                <w:p>
                  <w:pPr>
                    <w:pStyle w:val="Compact"/>
                    <w:jc w:val="center"/>
                  </w:pPr>
                  <w:r>
                    <w:t xml:space="preserve">Mean daily</w:t>
                  </w:r>
                </w:p>
              </w:tc>
              <w:tc>
                <w:tcPr/>
                <w:p>
                  <w:pPr>
                    <w:pStyle w:val="Compact"/>
                    <w:jc w:val="center"/>
                  </w:pPr>
                  <m:oMath>
                    <m:f>
                      <m:fPr>
                        <m:type m:val="bar"/>
                      </m:fPr>
                      <m:num>
                        <m:r>
                          <m:t>5</m:t>
                        </m:r>
                        <m:r>
                          <m:rPr>
                            <m:sty m:val="p"/>
                          </m:rPr>
                          <m:t>*</m:t>
                        </m:r>
                        <m:acc>
                          <m:accPr>
                            <m:chr m:val="‾"/>
                          </m:accPr>
                          <m:e>
                            <m:r>
                              <m:rPr>
                                <m:nor/>
                                <m:sty m:val="p"/>
                              </m:rPr>
                              <m:t>weekday</m:t>
                            </m:r>
                          </m:e>
                        </m:acc>
                        <m:r>
                          <m:rPr>
                            <m:sty m:val="p"/>
                          </m:rPr>
                          <m:t>+</m:t>
                        </m:r>
                        <m:r>
                          <m:t>2</m:t>
                        </m:r>
                        <m:r>
                          <m:rPr>
                            <m:sty m:val="p"/>
                          </m:rPr>
                          <m:t>*</m:t>
                        </m:r>
                        <m:acc>
                          <m:accPr>
                            <m:chr m:val="‾"/>
                          </m:accPr>
                          <m:e>
                            <m:r>
                              <m:t>w</m:t>
                            </m:r>
                            <m:r>
                              <m:t>e</m:t>
                            </m:r>
                            <m:r>
                              <m:t>e</m:t>
                            </m:r>
                            <m:r>
                              <m:t>k</m:t>
                            </m:r>
                            <m:r>
                              <m:t>e</m:t>
                            </m:r>
                            <m:r>
                              <m:t>n</m:t>
                            </m:r>
                            <m:r>
                              <m:t>d</m:t>
                            </m:r>
                          </m:e>
                        </m:acc>
                      </m:num>
                      <m:den>
                        <m:r>
                          <m:t>7</m:t>
                        </m:r>
                      </m:den>
                    </m:f>
                  </m:oMath>
                </w:p>
              </w:tc>
            </w:tr>
            <w:tr>
              <w:tc>
                <w:tcPr/>
                <w:p>
                  <w:pPr>
                    <w:pStyle w:val="Compact"/>
                    <w:jc w:val="center"/>
                  </w:pPr>
                  <w:r>
                    <w:t xml:space="preserve">Near work</w:t>
                  </w:r>
                </w:p>
              </w:tc>
              <w:tc>
                <w:tcPr/>
                <w:p>
                  <w:pPr>
                    <w:pStyle w:val="Compact"/>
                    <w:jc w:val="center"/>
                  </w:pPr>
                  <m:oMath>
                    <m:r>
                      <m:rPr>
                        <m:nor/>
                        <m:sty m:val="p"/>
                      </m:rPr>
                      <m:t>working distance</m:t>
                    </m:r>
                    <m:r>
                      <m:rPr>
                        <m:sty m:val="p"/>
                      </m:rPr>
                      <m:t>,</m:t>
                    </m:r>
                    <m:r>
                      <m:rPr>
                        <m:sty m:val="p"/>
                      </m:rPr>
                      <m:t>[</m:t>
                    </m:r>
                    <m:r>
                      <m:t>15</m:t>
                    </m:r>
                    <m:r>
                      <m:rPr>
                        <m:sty m:val="p"/>
                      </m:rPr>
                      <m:t>,</m:t>
                    </m:r>
                    <m:r>
                      <m:t>60</m:t>
                    </m:r>
                    <m:r>
                      <m:rPr>
                        <m:sty m:val="p"/>
                      </m:rPr>
                      <m:t>)</m:t>
                    </m:r>
                    <m:r>
                      <m:t>c</m:t>
                    </m:r>
                    <m:r>
                      <m:t>m</m:t>
                    </m:r>
                  </m:oMath>
                </w:p>
              </w:tc>
            </w:tr>
            <w:tr>
              <w:tc>
                <w:tcPr/>
                <w:p>
                  <w:pPr>
                    <w:pStyle w:val="Compact"/>
                    <w:jc w:val="center"/>
                  </w:pPr>
                  <w:r>
                    <w:t xml:space="preserve">Intermediate Work</w:t>
                  </w:r>
                </w:p>
              </w:tc>
              <w:tc>
                <w:tcPr/>
                <w:p>
                  <w:pPr>
                    <w:pStyle w:val="Compact"/>
                    <w:jc w:val="center"/>
                  </w:pPr>
                  <m:oMath>
                    <m:r>
                      <m:rPr>
                        <m:nor/>
                        <m:sty m:val="p"/>
                      </m:rPr>
                      <m:t>working distance</m:t>
                    </m:r>
                    <m:r>
                      <m:rPr>
                        <m:sty m:val="p"/>
                      </m:rPr>
                      <m:t>,</m:t>
                    </m:r>
                    <m:r>
                      <m:rPr>
                        <m:sty m:val="p"/>
                      </m:rPr>
                      <m:t>[</m:t>
                    </m:r>
                    <m:r>
                      <m:t>60</m:t>
                    </m:r>
                    <m:r>
                      <m:rPr>
                        <m:sty m:val="p"/>
                      </m:rPr>
                      <m:t>,</m:t>
                    </m:r>
                    <m:r>
                      <m:t>100</m:t>
                    </m:r>
                    <m:r>
                      <m:rPr>
                        <m:sty m:val="p"/>
                      </m:rPr>
                      <m:t>)</m:t>
                    </m:r>
                    <m:r>
                      <m:t>c</m:t>
                    </m:r>
                    <m:r>
                      <m:t>m</m:t>
                    </m:r>
                  </m:oMath>
                </w:p>
              </w:tc>
            </w:tr>
            <w:tr>
              <w:tc>
                <w:tcPr/>
                <w:p>
                  <w:pPr>
                    <w:pStyle w:val="Compact"/>
                    <w:jc w:val="center"/>
                  </w:pPr>
                  <w:r>
                    <w:t xml:space="preserve">Total work</w:t>
                  </w:r>
                  <w:r>
                    <w:rPr>
                      <w:rStyle w:val="FootnoteReference"/>
                    </w:rPr>
                    <w:footnoteReference w:id="44"/>
                  </w:r>
                </w:p>
              </w:tc>
              <w:tc>
                <w:tcPr/>
                <w:p>
                  <w:pPr>
                    <w:pStyle w:val="Compact"/>
                    <w:jc w:val="center"/>
                  </w:pPr>
                  <m:oMath>
                    <m:r>
                      <m:rPr>
                        <m:nor/>
                        <m:sty m:val="p"/>
                      </m:rPr>
                      <m:t>working distance</m:t>
                    </m:r>
                    <m:r>
                      <m:rPr>
                        <m:sty m:val="p"/>
                      </m:rPr>
                      <m:t>,</m:t>
                    </m:r>
                    <m:r>
                      <m:rPr>
                        <m:sty m:val="p"/>
                      </m:rPr>
                      <m:t>[</m:t>
                    </m:r>
                    <m:r>
                      <m:t>15</m:t>
                    </m:r>
                    <m:r>
                      <m:rPr>
                        <m:sty m:val="p"/>
                      </m:rPr>
                      <m:t>,</m:t>
                    </m:r>
                    <m:r>
                      <m:t>120</m:t>
                    </m:r>
                    <m:r>
                      <m:rPr>
                        <m:sty m:val="p"/>
                      </m:rPr>
                      <m:t>)</m:t>
                    </m:r>
                    <m:r>
                      <m:t>c</m:t>
                    </m:r>
                    <m:r>
                      <m:t>m</m:t>
                    </m:r>
                  </m:oMath>
                </w:p>
              </w:tc>
            </w:tr>
            <w:tr>
              <w:tc>
                <w:tcPr/>
                <w:p>
                  <w:pPr>
                    <w:pStyle w:val="Compact"/>
                    <w:jc w:val="center"/>
                  </w:pPr>
                  <w:r>
                    <w:t xml:space="preserve">Distance range</w:t>
                  </w:r>
                </w:p>
              </w:tc>
              <w:tc>
                <w:tcPr/>
                <w:p>
                  <w:pPr>
                    <w:pStyle w:val="Compact"/>
                    <w:jc w:val="center"/>
                  </w:pPr>
                  <w:r>
                    <w:t xml:space="preserve">$\textrm{working distance}, {[15,20)cm \textrm{,  Extremely near} \\ [20,30)cm \textrm{,  Very near} \\ [30,40)cm \textrm{,  Fairly near} \\ [40,50)cm \textrm{,  Near} \\ [50,60)cm \textrm{,  Moderately near} \\ [60,70)cm \textrm{,  Near intermediate} \\ [70,80)cm \textrm{,  Intermediate} \\ [80,90)cm \textrm{,  Moderately intermediate} \\ [90,100)cm \textrm{,  Far intermediate}}$</w:t>
                  </w:r>
                </w:p>
              </w:tc>
            </w:tr>
            <w:tr>
              <w:tc>
                <w:tcPr/>
                <w:p>
                  <w:pPr>
                    <w:pStyle w:val="Compact"/>
                    <w:jc w:val="center"/>
                  </w:pPr>
                  <w:r>
                    <w:t xml:space="preserve">Continuous near work</w:t>
                  </w:r>
                </w:p>
              </w:tc>
              <w:tc>
                <w:tcPr/>
                <w:p>
                  <w:pPr>
                    <w:jc w:val="center"/>
                  </w:pPr>
                  <m:oMath>
                    <m:r>
                      <m:rPr>
                        <m:nor/>
                        <m:sty m:val="p"/>
                      </m:rPr>
                      <m:t>working distance</m:t>
                    </m:r>
                    <m:r>
                      <m:rPr>
                        <m:sty m:val="p"/>
                      </m:rPr>
                      <m:t>,</m:t>
                    </m:r>
                    <m:r>
                      <m:rPr>
                        <m:sty m:val="p"/>
                      </m:rPr>
                      <m:t>[</m:t>
                    </m:r>
                    <m:r>
                      <m:t>20</m:t>
                    </m:r>
                    <m:r>
                      <m:rPr>
                        <m:sty m:val="p"/>
                      </m:rPr>
                      <m:t>,</m:t>
                    </m:r>
                    <m:r>
                      <m:t>60</m:t>
                    </m:r>
                    <m:r>
                      <m:rPr>
                        <m:sty m:val="p"/>
                      </m:rPr>
                      <m:t>)</m:t>
                    </m:r>
                    <m:r>
                      <m:t>c</m:t>
                    </m:r>
                    <m:r>
                      <m:t>m</m:t>
                    </m:r>
                    <m:r>
                      <m:rPr>
                        <m:sty m:val="p"/>
                      </m:rPr>
                      <m:t>,</m:t>
                    </m:r>
                  </m:oMath>
                </w:p>
                <w:p>
                  <w:pPr>
                    <w:jc w:val="center"/>
                  </w:pPr>
                  <m:oMath>
                    <m:sSub>
                      <m:e>
                        <m:r>
                          <m:t>T</m:t>
                        </m:r>
                      </m:e>
                      <m:sub>
                        <m:r>
                          <m:rPr>
                            <m:nor/>
                            <m:sty m:val="p"/>
                          </m:rPr>
                          <m:t>duration</m:t>
                        </m:r>
                      </m:sub>
                    </m:sSub>
                    <m:r>
                      <m:rPr>
                        <m:sty m:val="p"/>
                      </m:rPr>
                      <m:t>≥</m:t>
                    </m:r>
                    <m:r>
                      <m:t>30</m:t>
                    </m:r>
                    <m:r>
                      <m:t>m</m:t>
                    </m:r>
                    <m:r>
                      <m:t>i</m:t>
                    </m:r>
                    <m:r>
                      <m:t>n</m:t>
                    </m:r>
                    <m:r>
                      <m:t>u</m:t>
                    </m:r>
                    <m:r>
                      <m:t>t</m:t>
                    </m:r>
                    <m:r>
                      <m:t>e</m:t>
                    </m:r>
                    <m:r>
                      <m:t>s</m:t>
                    </m:r>
                    <m:r>
                      <m:rPr>
                        <m:sty m:val="p"/>
                      </m:rPr>
                      <m:t>,</m:t>
                    </m:r>
                    <m:r>
                      <m:rPr>
                        <m:nor/>
                        <m:sty m:val="p"/>
                      </m:rPr>
                      <m:t> </m:t>
                    </m:r>
                    <m:sSub>
                      <m:e>
                        <m:r>
                          <m:t>T</m:t>
                        </m:r>
                      </m:e>
                      <m:sub>
                        <m:r>
                          <m:t>i</m:t>
                        </m:r>
                        <m:r>
                          <m:t>n</m:t>
                        </m:r>
                        <m:r>
                          <m:t>t</m:t>
                        </m:r>
                        <m:r>
                          <m:t>e</m:t>
                        </m:r>
                        <m:r>
                          <m:t>r</m:t>
                        </m:r>
                        <m:r>
                          <m:t>r</m:t>
                        </m:r>
                        <m:r>
                          <m:t>u</m:t>
                        </m:r>
                        <m:r>
                          <m:t>p</m:t>
                        </m:r>
                        <m:r>
                          <m:t>t</m:t>
                        </m:r>
                        <m:r>
                          <m:t>i</m:t>
                        </m:r>
                        <m:r>
                          <m:t>o</m:t>
                        </m:r>
                        <m:r>
                          <m:t>n</m:t>
                        </m:r>
                        <m:r>
                          <m:t>s</m:t>
                        </m:r>
                      </m:sub>
                    </m:sSub>
                    <m:r>
                      <m:rPr>
                        <m:sty m:val="p"/>
                      </m:rPr>
                      <m:t>≤</m:t>
                    </m:r>
                    <m:r>
                      <m:t>1</m:t>
                    </m:r>
                    <m:r>
                      <m:t>m</m:t>
                    </m:r>
                    <m:r>
                      <m:t>i</m:t>
                    </m:r>
                    <m:r>
                      <m:t>n</m:t>
                    </m:r>
                    <m:r>
                      <m:t>u</m:t>
                    </m:r>
                    <m:r>
                      <m:t>t</m:t>
                    </m:r>
                    <m:r>
                      <m:t>e</m:t>
                    </m:r>
                  </m:oMath>
                </w:p>
              </w:tc>
            </w:tr>
            <w:tr>
              <w:tc>
                <w:tcPr/>
                <w:p>
                  <w:pPr>
                    <w:pStyle w:val="Compact"/>
                    <w:jc w:val="center"/>
                  </w:pPr>
                  <w:r>
                    <w:t xml:space="preserve">Near work episodes</w:t>
                  </w:r>
                </w:p>
              </w:tc>
              <w:tc>
                <w:tcPr/>
                <w:p>
                  <w:pPr>
                    <w:jc w:val="center"/>
                  </w:pPr>
                  <m:oMath>
                    <m:r>
                      <m:rPr>
                        <m:nor/>
                        <m:sty m:val="p"/>
                      </m:rPr>
                      <m:t>working distance</m:t>
                    </m:r>
                    <m:r>
                      <m:rPr>
                        <m:sty m:val="p"/>
                      </m:rPr>
                      <m:t>,</m:t>
                    </m:r>
                    <m:r>
                      <m:rPr>
                        <m:sty m:val="p"/>
                      </m:rPr>
                      <m:t>[</m:t>
                    </m:r>
                    <m:r>
                      <m:t>20</m:t>
                    </m:r>
                    <m:r>
                      <m:rPr>
                        <m:sty m:val="p"/>
                      </m:rPr>
                      <m:t>,</m:t>
                    </m:r>
                    <m:r>
                      <m:t>60</m:t>
                    </m:r>
                    <m:r>
                      <m:rPr>
                        <m:sty m:val="p"/>
                      </m:rPr>
                      <m:t>)</m:t>
                    </m:r>
                    <m:r>
                      <m:t>c</m:t>
                    </m:r>
                    <m:r>
                      <m:t>m</m:t>
                    </m:r>
                    <m:r>
                      <m:rPr>
                        <m:sty m:val="p"/>
                      </m:rPr>
                      <m:t>,</m:t>
                    </m:r>
                  </m:oMath>
                </w:p>
                <w:p>
                  <w:pPr>
                    <w:jc w:val="center"/>
                  </w:pPr>
                  <m:oMath>
                    <m:sSub>
                      <m:e>
                        <m:r>
                          <m:t>T</m:t>
                        </m:r>
                      </m:e>
                      <m:sub>
                        <m:r>
                          <m:rPr>
                            <m:nor/>
                            <m:sty m:val="p"/>
                          </m:rPr>
                          <m:t>interruptions</m:t>
                        </m:r>
                      </m:sub>
                    </m:sSub>
                    <m:r>
                      <m:rPr>
                        <m:sty m:val="p"/>
                      </m:rPr>
                      <m:t>≤</m:t>
                    </m:r>
                    <m:r>
                      <m:t>20</m:t>
                    </m:r>
                    <m:r>
                      <m:t>s</m:t>
                    </m:r>
                    <m:r>
                      <m:t>e</m:t>
                    </m:r>
                    <m:r>
                      <m:t>c</m:t>
                    </m:r>
                    <m:r>
                      <m:t>o</m:t>
                    </m:r>
                    <m:r>
                      <m:t>n</m:t>
                    </m:r>
                    <m:r>
                      <m:t>d</m:t>
                    </m:r>
                    <m:r>
                      <m:t>s</m:t>
                    </m:r>
                  </m:oMath>
                </w:p>
              </w:tc>
            </w:tr>
            <w:tr>
              <w:tc>
                <w:tcPr/>
                <w:p>
                  <w:pPr>
                    <w:pStyle w:val="Compact"/>
                    <w:jc w:val="center"/>
                  </w:pPr>
                  <w:r>
                    <w:t xml:space="preserve">Ratio of daily near work</w:t>
                  </w:r>
                </w:p>
              </w:tc>
              <w:tc>
                <w:tcPr/>
                <w:p>
                  <w:pPr>
                    <w:pStyle w:val="Compact"/>
                    <w:jc w:val="center"/>
                  </w:pPr>
                  <m:oMath>
                    <m:f>
                      <m:fPr>
                        <m:type m:val="bar"/>
                      </m:fPr>
                      <m:num>
                        <m:sSub>
                          <m:e>
                            <m:r>
                              <m:t>T</m:t>
                            </m:r>
                          </m:e>
                          <m:sub>
                            <m:r>
                              <m:rPr>
                                <m:nor/>
                                <m:sty m:val="p"/>
                              </m:rPr>
                              <m:t>near work</m:t>
                            </m:r>
                          </m:sub>
                        </m:sSub>
                      </m:num>
                      <m:den>
                        <m:sSub>
                          <m:e>
                            <m:r>
                              <m:t>T</m:t>
                            </m:r>
                          </m:e>
                          <m:sub>
                            <m:r>
                              <m:rPr>
                                <m:nor/>
                                <m:sty m:val="p"/>
                              </m:rPr>
                              <m:t>total wear</m:t>
                            </m:r>
                          </m:sub>
                        </m:sSub>
                      </m:den>
                    </m:f>
                  </m:oMath>
                </w:p>
              </w:tc>
            </w:tr>
            <w:tr>
              <w:tc>
                <w:tcPr/>
                <w:p>
                  <w:pPr>
                    <w:pStyle w:val="Compact"/>
                    <w:jc w:val="center"/>
                  </w:pPr>
                  <w:r>
                    <w:t xml:space="preserve">Visual break</w:t>
                  </w:r>
                </w:p>
              </w:tc>
              <w:tc>
                <w:tcPr/>
                <w:p>
                  <w:pPr>
                    <w:pStyle w:val="Compact"/>
                    <w:jc w:val="center"/>
                  </w:pPr>
                  <w:r>
                    <w:t xml:space="preserve">$\textrm{working distance} ≥ 100cm, \\ T_\textrm{duration} ≥ 20 seconds, \textrm{ }T_\textrm{previous episode} ≤ 20 minutes$</w:t>
                  </w:r>
                </w:p>
              </w:tc>
            </w:tr>
            <w:tr>
              <w:tc>
                <w:tcPr/>
                <w:p>
                  <w:pPr>
                    <w:pStyle w:val="Compact"/>
                    <w:jc w:val="center"/>
                  </w:pPr>
                  <w:r>
                    <w:t xml:space="preserve">Outdoor range</w:t>
                  </w:r>
                </w:p>
              </w:tc>
              <w:tc>
                <w:tcPr/>
                <w:p>
                  <w:pPr>
                    <w:pStyle w:val="Compact"/>
                    <w:jc w:val="center"/>
                  </w:pPr>
                  <w:r>
                    <w:t xml:space="preserve">$\textrm{illuminance}, {[1000,2000)lx \textrm{,  Outdoor bright} \\ [2000,3000)lx \textrm{,  Outdoor very bright} \\ [3000, \infty) lx \textrm{,  Outdoor extremely bright}}$</w:t>
                  </w:r>
                </w:p>
              </w:tc>
            </w:tr>
            <w:tr>
              <w:tc>
                <w:tcPr/>
                <w:p>
                  <w:pPr>
                    <w:pStyle w:val="Compact"/>
                    <w:jc w:val="center"/>
                  </w:pPr>
                  <w:r>
                    <w:t xml:space="preserve">Light exposure</w:t>
                  </w:r>
                  <w:r>
                    <w:rPr>
                      <w:rStyle w:val="FootnoteReference"/>
                    </w:rPr>
                    <w:footnoteReference w:id="45"/>
                  </w:r>
                </w:p>
              </w:tc>
              <w:tc>
                <w:tcPr/>
                <w:p>
                  <w:pPr>
                    <w:pStyle w:val="Compact"/>
                    <w:jc w:val="center"/>
                  </w:pPr>
                  <m:oMath>
                    <m:acc>
                      <m:accPr>
                        <m:chr m:val="‾"/>
                      </m:accPr>
                      <m:e>
                        <m:r>
                          <m:t>i</m:t>
                        </m:r>
                        <m:r>
                          <m:t>l</m:t>
                        </m:r>
                        <m:r>
                          <m:t>l</m:t>
                        </m:r>
                        <m:r>
                          <m:t>u</m:t>
                        </m:r>
                        <m:r>
                          <m:t>m</m:t>
                        </m:r>
                        <m:r>
                          <m:t>i</m:t>
                        </m:r>
                        <m:r>
                          <m:t>n</m:t>
                        </m:r>
                        <m:r>
                          <m:t>a</m:t>
                        </m:r>
                        <m:r>
                          <m:t>n</m:t>
                        </m:r>
                        <m:r>
                          <m:t>c</m:t>
                        </m:r>
                        <m:r>
                          <m:t>e</m:t>
                        </m:r>
                      </m:e>
                    </m:acc>
                  </m:oMath>
                </w:p>
              </w:tc>
            </w:tr>
            <w:tr>
              <w:tc>
                <w:tcPr/>
                <w:p>
                  <w:pPr>
                    <w:pStyle w:val="Compact"/>
                    <w:jc w:val="center"/>
                  </w:pPr>
                  <w:r>
                    <w:t xml:space="preserve">Spectral bands</w:t>
                  </w:r>
                </w:p>
              </w:tc>
              <w:tc>
                <w:tcPr/>
                <w:p>
                  <w:pPr>
                    <w:pStyle w:val="Compact"/>
                    <w:jc w:val="center"/>
                  </w:pPr>
                  <w:r>
                    <w:t xml:space="preserve">$\textrm{spectral irradiance}, {[380,500]nm \textrm{,  short wavelength light} \\ [600, 780]nm \textrm{,  long wavelength light}}$</w:t>
                  </w:r>
                </w:p>
              </w:tc>
            </w:tr>
            <w:tr>
              <w:tc>
                <w:tcPr/>
                <w:p>
                  <w:pPr>
                    <w:pStyle w:val="Compact"/>
                    <w:jc w:val="center"/>
                  </w:pPr>
                  <w:r>
                    <w:t xml:space="preserve">Ratio of short vs. long wavelength light</w:t>
                  </w:r>
                </w:p>
              </w:tc>
              <w:tc>
                <w:tcPr/>
                <w:p>
                  <w:pPr>
                    <w:pStyle w:val="Compact"/>
                    <w:jc w:val="center"/>
                  </w:pPr>
                  <m:oMath>
                    <m:f>
                      <m:fPr>
                        <m:type m:val="bar"/>
                      </m:fPr>
                      <m:num>
                        <m:sSub>
                          <m:e>
                            <m:r>
                              <m:t>E</m:t>
                            </m:r>
                          </m:e>
                          <m:sub>
                            <m:r>
                              <m:t>e</m:t>
                            </m:r>
                            <m:r>
                              <m:rPr>
                                <m:nor/>
                                <m:sty m:val="p"/>
                              </m:rPr>
                              <m:t>,short wavelength</m:t>
                            </m:r>
                          </m:sub>
                        </m:sSub>
                      </m:num>
                      <m:den>
                        <m:sSub>
                          <m:e>
                            <m:r>
                              <m:t>E</m:t>
                            </m:r>
                          </m:e>
                          <m:sub>
                            <m:r>
                              <m:t>e</m:t>
                            </m:r>
                            <m:r>
                              <m:rPr>
                                <m:nor/>
                                <m:sty m:val="p"/>
                              </m:rPr>
                              <m:t>,long wavelength</m:t>
                            </m:r>
                          </m:sub>
                        </m:sSub>
                      </m:den>
                    </m:f>
                  </m:oMath>
                </w:p>
              </w:tc>
            </w:tr>
          </w:tbl>
          <w:bookmarkEnd w:id="46"/>
          <w:p/>
        </w:tc>
      </w:tr>
    </w:tbl>
    <w:p>
      <w:pPr>
        <w:pStyle w:val="BodyText"/>
      </w:pPr>
      <w:r>
        <w:t xml:space="preserve">It should be noted that although daylight levels can far exceed the thresholds defined in</w:t>
      </w:r>
      <w:r>
        <w:t xml:space="preserve"> </w:t>
      </w:r>
      <w:hyperlink w:anchor="tbl-two">
        <w:r>
          <w:rPr>
            <w:rStyle w:val="Hyperlink"/>
          </w:rPr>
          <w:t xml:space="preserve">Table 2</w:t>
        </w:r>
      </w:hyperlink>
      <w:r>
        <w:t xml:space="preserve"> </w:t>
      </w:r>
      <w:r>
        <w:t xml:space="preserve">- and may reach or even exceed 10^5 lux - empirical daylight levels measured at eye level are much lower, typically around 10^3 lux, especially when considering aggregated time-series data over minutes to hours.</w:t>
      </w:r>
    </w:p>
    <w:bookmarkEnd w:id="47"/>
    <w:bookmarkStart w:id="48" w:name="devices"/>
    <w:p>
      <w:pPr>
        <w:pStyle w:val="Heading3"/>
      </w:pPr>
      <w:r>
        <w:t xml:space="preserve">Devices</w:t>
      </w:r>
    </w:p>
    <w:p>
      <w:pPr>
        <w:pStyle w:val="FirstParagraph"/>
      </w:pPr>
      <w:r>
        <w:t xml:space="preserve">Data from two wearable devices are used in this analysis:</w:t>
      </w:r>
    </w:p>
    <w:p>
      <w:pPr>
        <w:numPr>
          <w:ilvl w:val="0"/>
          <w:numId w:val="1002"/>
        </w:numPr>
      </w:pPr>
      <w:r>
        <w:rPr>
          <w:rStyle w:val="VerbatimChar"/>
        </w:rPr>
        <w:t xml:space="preserve">Clouclip</w:t>
      </w:r>
      <w:r>
        <w:t xml:space="preserve">: A wearable device that measures viewing distance and ambient light simultaneously [Glasson Technology Co., Ltd, Hangzhou, China;</w:t>
      </w:r>
      <w:r>
        <w:t xml:space="preserve"> </w:t>
      </w:r>
      <w:r>
        <w:t xml:space="preserve">Wen et al. (2021)</w:t>
      </w:r>
      <w:r>
        <w:t xml:space="preserve">;</w:t>
      </w:r>
      <w:r>
        <w:t xml:space="preserve"> </w:t>
      </w:r>
      <w:r>
        <w:t xml:space="preserve">Wen et al. (2020)</w:t>
      </w:r>
      <w:r>
        <w:t xml:space="preserve">]. The Clouclip provides a simple data output with only distance (working distance, in centimeters) and illuminance (ambient light, in lux). Data in our example were recorded at 5-second intervals. Approximately one week of data (~120,960 observations) is about 1.6 MB in size.</w:t>
      </w:r>
    </w:p>
    <w:p>
      <w:pPr>
        <w:numPr>
          <w:ilvl w:val="0"/>
          <w:numId w:val="1002"/>
        </w:numPr>
      </w:pPr>
      <w:r>
        <w:rPr>
          <w:rStyle w:val="VerbatimChar"/>
        </w:rPr>
        <w:t xml:space="preserve">Visual Environment Evaluation Tool</w:t>
      </w:r>
      <w:r>
        <w:t xml:space="preserve"> </w:t>
      </w:r>
      <w:r>
        <w:t xml:space="preserve">(VEET): A head-mounted multi-modal device that logs multiple data streams [Reality Labs Research, Menlo Park, CA, USA;</w:t>
      </w:r>
      <w:r>
        <w:t xml:space="preserve"> </w:t>
      </w:r>
      <w:r>
        <w:t xml:space="preserve">Sah, Narra, and Ostrin (2025)</w:t>
      </w:r>
      <w:r>
        <w:t xml:space="preserve">;</w:t>
      </w:r>
      <w:r>
        <w:t xml:space="preserve"> </w:t>
      </w:r>
      <w:r>
        <w:t xml:space="preserve">Sullivan et al. (2024)</w:t>
      </w:r>
      <w:r>
        <w:t xml:space="preserve">]. The VEET dataset used here contains simultaneous measurements of distance (via a time-of-flight sensor), ambient light (illuminance), activity (accelerometer &amp; gyroscope), and spectral irradiance (multi-channel light sensor). Data were recorded at 2-second intervals, yielding a very dense dataset (~270 MB per week).</w:t>
      </w:r>
    </w:p>
    <w:bookmarkEnd w:id="48"/>
    <w:bookmarkStart w:id="52" w:name="data-processing-summary"/>
    <w:p>
      <w:pPr>
        <w:pStyle w:val="Heading3"/>
      </w:pPr>
      <w:r>
        <w:t xml:space="preserve">Data processing summary</w:t>
      </w:r>
    </w:p>
    <w:p>
      <w:pPr>
        <w:pStyle w:val="FirstParagraph"/>
      </w:pPr>
      <w:r>
        <w:t xml:space="preserve">The</w:t>
      </w:r>
      <w:r>
        <w:t xml:space="preserve"> </w:t>
      </w:r>
      <w:hyperlink w:anchor="results">
        <w:r>
          <w:rPr>
            <w:rStyle w:val="Hyperlink"/>
          </w:rPr>
          <w:t xml:space="preserve">Results</w:t>
        </w:r>
      </w:hyperlink>
      <w:r>
        <w:t xml:space="preserve"> </w:t>
      </w:r>
      <w:r>
        <w:t xml:space="preserve">section uses imported and pre-processed data from the two devices to calculate metrics.</w:t>
      </w:r>
      <w:r>
        <w:t xml:space="preserve"> </w:t>
      </w:r>
      <w:hyperlink r:id="rId28">
        <w:r>
          <w:rPr>
            <w:rStyle w:val="Hyperlink"/>
          </w:rPr>
          <w:t xml:space="preserve">Supplement 1</w:t>
        </w:r>
      </w:hyperlink>
      <w:r>
        <w:t xml:space="preserve"> </w:t>
      </w:r>
      <w:r>
        <w:t xml:space="preserve">contains the annotated code and description for the steps involved. The following summarizes the steps involved, please refer to the supplement for details:</w:t>
      </w:r>
    </w:p>
    <w:p>
      <w:pPr>
        <w:pStyle w:val="BodyText"/>
      </w:pPr>
      <w:r>
        <w:rPr>
          <w:b/>
          <w:bCs/>
        </w:rPr>
        <w:t xml:space="preserve">Data import:</w:t>
      </w:r>
      <w:r>
        <w:t xml:space="preserve"> </w:t>
      </w:r>
      <w:r>
        <w:t xml:space="preserve">We imported raw data from the</w:t>
      </w:r>
      <w:r>
        <w:t xml:space="preserve"> </w:t>
      </w:r>
      <w:r>
        <w:rPr>
          <w:rStyle w:val="VerbatimChar"/>
        </w:rPr>
        <w:t xml:space="preserve">Clouclip</w:t>
      </w:r>
      <w:r>
        <w:t xml:space="preserve"> </w:t>
      </w:r>
      <w:r>
        <w:t xml:space="preserve">and</w:t>
      </w:r>
      <w:r>
        <w:t xml:space="preserve"> </w:t>
      </w:r>
      <w:r>
        <w:rPr>
          <w:rStyle w:val="VerbatimChar"/>
        </w:rPr>
        <w:t xml:space="preserve">VEET</w:t>
      </w:r>
      <w:r>
        <w:t xml:space="preserve"> </w:t>
      </w:r>
      <w:r>
        <w:t xml:space="preserve">devices using LightLogR’s built-in import functions, which automatically handle device-specific formats and idiosyncrasies.</w:t>
      </w:r>
    </w:p>
    <w:p>
      <w:pPr>
        <w:pStyle w:val="BodyText"/>
      </w:pPr>
      <w:r>
        <w:t xml:space="preserve">The</w:t>
      </w:r>
      <w:r>
        <w:t xml:space="preserve"> </w:t>
      </w:r>
      <w:r>
        <w:rPr>
          <w:rStyle w:val="VerbatimChar"/>
        </w:rPr>
        <w:t xml:space="preserve">Clouclip</w:t>
      </w:r>
      <w:r>
        <w:t xml:space="preserve"> </w:t>
      </w:r>
      <w:r>
        <w:t xml:space="preserve">export file (provided as a tab-delimited text file) contains timestamped records of distance (cm) and illuminance (lux). LightLogR’s</w:t>
      </w:r>
      <w:r>
        <w:t xml:space="preserve"> </w:t>
      </w:r>
      <w:r>
        <w:rPr>
          <w:rStyle w:val="VerbatimChar"/>
        </w:rPr>
        <w:t xml:space="preserve">import$Clouclip</w:t>
      </w:r>
      <w:r>
        <w:t xml:space="preserve"> </w:t>
      </w:r>
      <w:r>
        <w:t xml:space="preserve">function reads this file, after specifying the device’s recording timezone, and converts device-specific sentinel codes into proper missing values. For instance, the Clouclip uses special numeric codes to indicate when it is in</w:t>
      </w:r>
      <w:r>
        <w:t xml:space="preserve"> </w:t>
      </w:r>
      <w:r>
        <w:t xml:space="preserve">“sleep mode”</w:t>
      </w:r>
      <w:r>
        <w:t xml:space="preserve"> </w:t>
      </w:r>
      <w:r>
        <w:t xml:space="preserve">or when a reading is out of the sensor’s range, rather than recording a normal value. LightLogR identifies</w:t>
      </w:r>
      <w:r>
        <w:t xml:space="preserve"> </w:t>
      </w:r>
      <w:r>
        <w:rPr>
          <w:rStyle w:val="VerbatimChar"/>
        </w:rPr>
        <w:t xml:space="preserve">-1</w:t>
      </w:r>
      <w:r>
        <w:t xml:space="preserve"> </w:t>
      </w:r>
      <w:r>
        <w:t xml:space="preserve">(for both distance and lux) as indicating the device’s sleep mode and</w:t>
      </w:r>
      <w:r>
        <w:t xml:space="preserve"> </w:t>
      </w:r>
      <w:r>
        <w:rPr>
          <w:rStyle w:val="VerbatimChar"/>
        </w:rPr>
        <w:t xml:space="preserve">204</w:t>
      </w:r>
      <w:r>
        <w:t xml:space="preserve"> </w:t>
      </w:r>
      <w:r>
        <w:t xml:space="preserve">(for distance) as indicating the object was beyond the measurable range, replacing these with</w:t>
      </w:r>
      <w:r>
        <w:t xml:space="preserve"> </w:t>
      </w:r>
      <w:r>
        <w:rPr>
          <w:rStyle w:val="VerbatimChar"/>
        </w:rPr>
        <w:t xml:space="preserve">NA</w:t>
      </w:r>
      <w:r>
        <w:t xml:space="preserve"> </w:t>
      </w:r>
      <w:r>
        <w:t xml:space="preserve">and logging their status in separate columns. The import routine also provides an initial summary of the dataset, including start and end times and any irregular sampling intervals or gaps.</w:t>
      </w:r>
    </w:p>
    <w:p>
      <w:pPr>
        <w:pStyle w:val="BodyText"/>
      </w:pPr>
      <w:r>
        <w:t xml:space="preserve">For the</w:t>
      </w:r>
      <w:r>
        <w:t xml:space="preserve"> </w:t>
      </w:r>
      <w:r>
        <w:rPr>
          <w:rStyle w:val="VerbatimChar"/>
        </w:rPr>
        <w:t xml:space="preserve">VEET</w:t>
      </w:r>
      <w:r>
        <w:t xml:space="preserve"> </w:t>
      </w:r>
      <w:r>
        <w:t xml:space="preserve">device, data were provided as CSV logs (zipped on Github, due to size). We focused on the ambient light sensor modality first. Using</w:t>
      </w:r>
      <w:r>
        <w:t xml:space="preserve"> </w:t>
      </w:r>
      <w:r>
        <w:rPr>
          <w:rStyle w:val="VerbatimChar"/>
        </w:rPr>
        <w:t xml:space="preserve">import$VEET(..., modality = "ALS")</w:t>
      </w:r>
      <w:r>
        <w:t xml:space="preserve">, we extracted the illuminance (</w:t>
      </w:r>
      <w:r>
        <w:rPr>
          <w:rStyle w:val="VerbatimChar"/>
        </w:rPr>
        <w:t xml:space="preserve">Lux</w:t>
      </w:r>
      <w:r>
        <w:t xml:space="preserve">) data stream and its timestamps. The raw VEET data similarly contains irregular intervals and can contain missing periods (e.g., if the device stopped recording or was reset); the import summary flags these issues.</w:t>
      </w:r>
    </w:p>
    <w:p>
      <w:pPr>
        <w:pStyle w:val="BodyText"/>
      </w:pPr>
      <w:r>
        <w:t xml:space="preserve">Besides the</w:t>
      </w:r>
      <w:r>
        <w:t xml:space="preserve"> </w:t>
      </w:r>
      <w:r>
        <w:rPr>
          <w:rStyle w:val="VerbatimChar"/>
        </w:rPr>
        <w:t xml:space="preserve">Clouclip</w:t>
      </w:r>
      <w:r>
        <w:t xml:space="preserve"> </w:t>
      </w:r>
      <w:r>
        <w:t xml:space="preserve">and</w:t>
      </w:r>
      <w:r>
        <w:t xml:space="preserve"> </w:t>
      </w:r>
      <w:r>
        <w:rPr>
          <w:rStyle w:val="VerbatimChar"/>
        </w:rPr>
        <w:t xml:space="preserve">VEET</w:t>
      </w:r>
      <w:r>
        <w:t xml:space="preserve">, LightLogR 0.10.0 contains import functions for 18 more wearable devices. The package further supports versions due to evolving data formats, and includes documentation for both</w:t>
      </w:r>
      <w:r>
        <w:t xml:space="preserve"> </w:t>
      </w:r>
      <w:hyperlink r:id="rId49">
        <w:r>
          <w:rPr>
            <w:rStyle w:val="Hyperlink"/>
          </w:rPr>
          <w:t xml:space="preserve">code-based</w:t>
        </w:r>
      </w:hyperlink>
      <w:r>
        <w:t xml:space="preserve"> </w:t>
      </w:r>
      <w:r>
        <w:t xml:space="preserve">and</w:t>
      </w:r>
      <w:r>
        <w:t xml:space="preserve"> </w:t>
      </w:r>
      <w:hyperlink r:id="rId50">
        <w:r>
          <w:rPr>
            <w:rStyle w:val="Hyperlink"/>
          </w:rPr>
          <w:t xml:space="preserve">code-less</w:t>
        </w:r>
      </w:hyperlink>
      <w:r>
        <w:t xml:space="preserve"> </w:t>
      </w:r>
      <w:r>
        <w:t xml:space="preserve">additions of new device import-functions.</w:t>
      </w:r>
    </w:p>
    <w:p>
      <w:pPr>
        <w:pStyle w:val="BodyText"/>
      </w:pPr>
      <w:r>
        <w:rPr>
          <w:b/>
          <w:bCs/>
        </w:rPr>
        <w:t xml:space="preserve">Irregular intervals, gaps, non-wear times:</w:t>
      </w:r>
      <w:r>
        <w:t xml:space="preserve"> </w:t>
      </w:r>
      <w:r>
        <w:t xml:space="preserve">Both datasets showed irregular timing and missing data, i.e., gaps. Irregular data means that some observations did not align to the nominal sampling interval (e.g., slight timing drift or pauses in recording). For the</w:t>
      </w:r>
      <w:r>
        <w:t xml:space="preserve"> </w:t>
      </w:r>
      <w:r>
        <w:rPr>
          <w:rStyle w:val="VerbatimChar"/>
        </w:rPr>
        <w:t xml:space="preserve">Clouclip</w:t>
      </w:r>
      <w:r>
        <w:t xml:space="preserve"> </w:t>
      </w:r>
      <w:r>
        <w:t xml:space="preserve">5-second data, we detected irregular timestamps spanning all but the first and last day of the recording. Handling such irregularities is important because many downstream analyses assume a regular time series. We evaluated strategies to address this, including:</w:t>
      </w:r>
    </w:p>
    <w:p>
      <w:pPr>
        <w:numPr>
          <w:ilvl w:val="0"/>
          <w:numId w:val="1003"/>
        </w:numPr>
      </w:pPr>
      <w:r>
        <w:t xml:space="preserve">Removing an initial portion of data if irregularities occur mainly during device start-up.</w:t>
      </w:r>
    </w:p>
    <w:p>
      <w:pPr>
        <w:numPr>
          <w:ilvl w:val="0"/>
          <w:numId w:val="1003"/>
        </w:numPr>
      </w:pPr>
      <w:r>
        <w:t xml:space="preserve">Rounding all timestamps to the nearest regular interval (5 s in this case).</w:t>
      </w:r>
    </w:p>
    <w:p>
      <w:pPr>
        <w:numPr>
          <w:ilvl w:val="0"/>
          <w:numId w:val="1003"/>
        </w:numPr>
      </w:pPr>
      <w:r>
        <w:t xml:space="preserve">Aggregating to a coarser time interval (with some loss of temporal resolution).</w:t>
      </w:r>
    </w:p>
    <w:p>
      <w:pPr>
        <w:pStyle w:val="FirstParagraph"/>
      </w:pPr>
      <w:r>
        <w:t xml:space="preserve">Based on the import summary and visual inspection of the time gaps, we chose to round the observation times to the nearest 5-second mark, as this addressed the minor offsets without significant data loss. After rounding timestamps, we added an explicit date column for convenient grouping by day.</w:t>
      </w:r>
    </w:p>
    <w:p>
      <w:pPr>
        <w:pStyle w:val="BodyText"/>
      </w:pPr>
      <w:r>
        <w:t xml:space="preserve">We then generated a summary of missing data for each day. Implicit gaps (intervals where the device should have recorded data but did not) were converted into explicit missing entries using LightLogR’s gap-handling functions. We also removed days that had very little data to focus on days with substantial wear time. In our</w:t>
      </w:r>
      <w:r>
        <w:t xml:space="preserve"> </w:t>
      </w:r>
      <w:r>
        <w:rPr>
          <w:rStyle w:val="VerbatimChar"/>
        </w:rPr>
        <w:t xml:space="preserve">Clouclip</w:t>
      </w:r>
      <w:r>
        <w:t xml:space="preserve"> </w:t>
      </w:r>
      <w:r>
        <w:t xml:space="preserve">example, days with &lt;1 hour of recordings were dropped. This threshold should be adjusted based on how much complete days matter for a given analysis at hand. E.g., in circadian science, the metrics of</w:t>
      </w:r>
      <w:r>
        <w:t xml:space="preserve"> </w:t>
      </w:r>
      <w:r>
        <w:rPr>
          <w:i/>
          <w:iCs/>
        </w:rPr>
        <w:t xml:space="preserve">interdaily stability</w:t>
      </w:r>
      <w:r>
        <w:t xml:space="preserve"> </w:t>
      </w:r>
      <w:r>
        <w:t xml:space="preserve">and</w:t>
      </w:r>
      <w:r>
        <w:t xml:space="preserve"> </w:t>
      </w:r>
      <w:r>
        <w:rPr>
          <w:i/>
          <w:iCs/>
        </w:rPr>
        <w:t xml:space="preserve">intradaily variation</w:t>
      </w:r>
      <w:r>
        <w:t xml:space="preserve"> </w:t>
      </w:r>
      <w:r>
        <w:t xml:space="preserve">require measurements for each hour of the day.</w:t>
      </w:r>
    </w:p>
    <w:p>
      <w:pPr>
        <w:pStyle w:val="BodyText"/>
      </w:pPr>
      <w:r>
        <w:t xml:space="preserve">After these preprocessing steps, the</w:t>
      </w:r>
      <w:r>
        <w:t xml:space="preserve"> </w:t>
      </w:r>
      <w:r>
        <w:rPr>
          <w:rStyle w:val="VerbatimChar"/>
        </w:rPr>
        <w:t xml:space="preserve">Clouclip</w:t>
      </w:r>
      <w:r>
        <w:t xml:space="preserve"> </w:t>
      </w:r>
      <w:r>
        <w:t xml:space="preserve">dataset had no irregular timestamps remaining and contained explicit markers for all periods of missing data (e.g., times when the device was off or not worn). The distance and illuminance values were now ready for metric calculations. Because the device was put in</w:t>
      </w:r>
      <w:r>
        <w:t xml:space="preserve"> </w:t>
      </w:r>
      <w:r>
        <w:rPr>
          <w:rStyle w:val="VerbatimChar"/>
        </w:rPr>
        <w:t xml:space="preserve">sleep mode</w:t>
      </w:r>
      <w:r>
        <w:t xml:space="preserve"> </w:t>
      </w:r>
      <w:r>
        <w:t xml:space="preserve">when not worn, there are no measurements during non-wear times.</w:t>
      </w:r>
    </w:p>
    <w:p>
      <w:pPr>
        <w:pStyle w:val="BodyText"/>
      </w:pPr>
      <w:r>
        <w:t xml:space="preserve">The</w:t>
      </w:r>
      <w:r>
        <w:t xml:space="preserve"> </w:t>
      </w:r>
      <w:r>
        <w:rPr>
          <w:rStyle w:val="VerbatimChar"/>
        </w:rPr>
        <w:t xml:space="preserve">VEET</w:t>
      </w:r>
      <w:r>
        <w:t xml:space="preserve"> </w:t>
      </w:r>
      <w:r>
        <w:t xml:space="preserve">illuminance data underwent a similar cleaning procedure. To make the</w:t>
      </w:r>
      <w:r>
        <w:t xml:space="preserve"> </w:t>
      </w:r>
      <w:r>
        <w:rPr>
          <w:rStyle w:val="VerbatimChar"/>
        </w:rPr>
        <w:t xml:space="preserve">VEET</w:t>
      </w:r>
      <w:r>
        <w:t xml:space="preserve">’s 2-second illuminance data more comparable to the</w:t>
      </w:r>
      <w:r>
        <w:t xml:space="preserve"> </w:t>
      </w:r>
      <w:r>
        <w:rPr>
          <w:rStyle w:val="VerbatimChar"/>
        </w:rPr>
        <w:t xml:space="preserve">Clouclip</w:t>
      </w:r>
      <w:r>
        <w:t xml:space="preserve">’s and to reduce computational load, we aggregated the illuminance time series to 5-second intervals. Aggregation was performed with the arithmetic mean of values in a 5-second bin. We then inserted explicit missing entries for each whole day and removed days with more than one hour of missing illuminance data. After cleaning, six days of</w:t>
      </w:r>
      <w:r>
        <w:t xml:space="preserve"> </w:t>
      </w:r>
      <w:r>
        <w:rPr>
          <w:rStyle w:val="VerbatimChar"/>
        </w:rPr>
        <w:t xml:space="preserve">VEET</w:t>
      </w:r>
      <w:r>
        <w:t xml:space="preserve"> </w:t>
      </w:r>
      <w:r>
        <w:t xml:space="preserve">illuminance data with good coverage remained for analysis (see</w:t>
      </w:r>
      <w:r>
        <w:t xml:space="preserve"> </w:t>
      </w:r>
      <w:hyperlink r:id="rId28">
        <w:r>
          <w:rPr>
            <w:rStyle w:val="Hyperlink"/>
          </w:rPr>
          <w:t xml:space="preserve">Supplement 1</w:t>
        </w:r>
      </w:hyperlink>
      <w:r>
        <w:t xml:space="preserve"> </w:t>
      </w:r>
      <w:r>
        <w:t xml:space="preserve">for details).</w:t>
      </w:r>
    </w:p>
    <w:p>
      <w:pPr>
        <w:pStyle w:val="BodyText"/>
      </w:pPr>
      <w:r>
        <w:t xml:space="preserve">Finally, for spectral analysis, we imported the</w:t>
      </w:r>
      <w:r>
        <w:t xml:space="preserve"> </w:t>
      </w:r>
      <w:r>
        <w:rPr>
          <w:rStyle w:val="VerbatimChar"/>
        </w:rPr>
        <w:t xml:space="preserve">VEET</w:t>
      </w:r>
      <w:r>
        <w:t xml:space="preserve">’s spectral sensor modality, and, for the distance analysis, the time-of-flight modality. This required additional processing: the raw spectral data consists of counts from 10 wavelength-specific channels (approximately 415 nm through 940 nm, unequally spaced between 30 and 50 nm, plus one broadband clear channel covering the whole range of individual channels and a dark channel) along with a sensor gain setting. We aggregated the spectral data to 5-minute intervals to focus on broader trends and reduce data volume. Each channel’s counts were normalized by the appropriate gain. Using a calibration matrix provided by the manufacturer (specific to the spectral sensor model), we reconstructed full spectral power distributions for each 5-minute interval. The end result is a list-column in the dataset where each entry is the estimated spectral irradiance across wavelengths for that time interval. Detailed spectral preprocessing steps, including the calibration and normalization, are provided in the</w:t>
      </w:r>
      <w:r>
        <w:t xml:space="preserve"> </w:t>
      </w:r>
      <w:hyperlink r:id="rId28">
        <w:r>
          <w:rPr>
            <w:rStyle w:val="Hyperlink"/>
          </w:rPr>
          <w:t xml:space="preserve">Supplement 1</w:t>
        </w:r>
      </w:hyperlink>
      <w:r>
        <w:t xml:space="preserve">. After spectral reconstruction, the dataset was ready for calculating example spectrum-based metrics.</w:t>
      </w:r>
    </w:p>
    <w:p>
      <w:pPr>
        <w:pStyle w:val="BodyText"/>
      </w:pPr>
      <w:r>
        <w:t xml:space="preserve">Similarly, the time-of-flight modality contains 256 values per observation, encoding an 8x8 grid of distance and confidence measurements for up to two objects (8x8 grid, times two objects, times distance + confidence column for each object and grid point -&gt; 256 values). For computational reasons, only the first object was kept. These data were pivoted into a long format, where each row contains the distance and confidence data for a given position in the grid and a given datetime. After pivoting and converting grid positions into a deviation angle from central view, the dataset was ready to be used for distance analysis.</w:t>
      </w:r>
    </w:p>
    <w:p>
      <w:pPr>
        <w:pStyle w:val="BodyText"/>
      </w:pPr>
      <w:r>
        <w:t xml:space="preserve">Because the</w:t>
      </w:r>
      <w:r>
        <w:t xml:space="preserve"> </w:t>
      </w:r>
      <w:r>
        <w:rPr>
          <w:rStyle w:val="VerbatimChar"/>
        </w:rPr>
        <w:t xml:space="preserve">VEET</w:t>
      </w:r>
      <w:r>
        <w:t xml:space="preserve"> </w:t>
      </w:r>
      <w:r>
        <w:t xml:space="preserve">devices record even when not worn, a non-wear detection using the devices’ actigraphy modality was implemented. This process used the standard deviation of a linear motion sensor in a 5-minute bin with a visually derived threshold to separate wear from non-wear time. Measurements of illuminance and distance were consequently removed during the calculated non-wear times.</w:t>
      </w:r>
    </w:p>
    <w:p>
      <w:pPr>
        <w:pStyle w:val="BodyText"/>
      </w:pPr>
      <w:r>
        <w:t xml:space="preserve">This tutorial will start by importing a</w:t>
      </w:r>
      <w:r>
        <w:t xml:space="preserve"> </w:t>
      </w:r>
      <w:r>
        <w:rPr>
          <w:rStyle w:val="VerbatimChar"/>
        </w:rPr>
        <w:t xml:space="preserve">Clouclip</w:t>
      </w:r>
      <w:r>
        <w:t xml:space="preserve"> </w:t>
      </w:r>
      <w:r>
        <w:t xml:space="preserve">dataset and providing an overview of the data. The</w:t>
      </w:r>
      <w:r>
        <w:t xml:space="preserve"> </w:t>
      </w:r>
      <w:r>
        <w:rPr>
          <w:rStyle w:val="VerbatimChar"/>
        </w:rPr>
        <w:t xml:space="preserve">Clouclip</w:t>
      </w:r>
      <w:r>
        <w:t xml:space="preserve"> </w:t>
      </w:r>
      <w:r>
        <w:t xml:space="preserve">export is considerably simpler compared to the</w:t>
      </w:r>
      <w:r>
        <w:t xml:space="preserve"> </w:t>
      </w:r>
      <w:r>
        <w:rPr>
          <w:rStyle w:val="VerbatimChar"/>
        </w:rPr>
        <w:t xml:space="preserve">VEET</w:t>
      </w:r>
      <w:r>
        <w:t xml:space="preserve"> </w:t>
      </w:r>
      <w:r>
        <w:t xml:space="preserve">export, only containing</w:t>
      </w:r>
      <w:r>
        <w:t xml:space="preserve"> </w:t>
      </w:r>
      <w:r>
        <w:rPr>
          <w:rStyle w:val="VerbatimChar"/>
        </w:rPr>
        <w:t xml:space="preserve">Distance</w:t>
      </w:r>
      <w:r>
        <w:t xml:space="preserve"> </w:t>
      </w:r>
      <w:r>
        <w:t xml:space="preserve">and</w:t>
      </w:r>
      <w:r>
        <w:t xml:space="preserve"> </w:t>
      </w:r>
      <w:r>
        <w:rPr>
          <w:rStyle w:val="VerbatimChar"/>
        </w:rPr>
        <w:t xml:space="preserve">Illuminance</w:t>
      </w:r>
      <w:r>
        <w:t xml:space="preserve"> </w:t>
      </w:r>
      <w:r>
        <w:t xml:space="preserve">measurements. The</w:t>
      </w:r>
      <w:r>
        <w:t xml:space="preserve"> </w:t>
      </w:r>
      <w:r>
        <w:rPr>
          <w:rStyle w:val="VerbatimChar"/>
        </w:rPr>
        <w:t xml:space="preserve">VEET</w:t>
      </w:r>
      <w:r>
        <w:t xml:space="preserve"> </w:t>
      </w:r>
      <w:r>
        <w:t xml:space="preserve">dataset will be imported later for the spectrum related metrics.</w:t>
      </w:r>
    </w:p>
    <w:p>
      <w:pPr>
        <w:pStyle w:val="SourceCode"/>
      </w:pPr>
      <w:r>
        <w:rPr>
          <w:rStyle w:val="FunctionTok"/>
        </w:rPr>
        <w:t xml:space="preserve">library</w:t>
      </w:r>
      <w:r>
        <w:rPr>
          <w:rStyle w:val="NormalTok"/>
        </w:rPr>
        <w:t xml:space="preserve">(LightLogR)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(gt)</w:t>
      </w:r>
      <w:r>
        <w:br/>
      </w:r>
      <w:r>
        <w:rPr>
          <w:rStyle w:val="FunctionTok"/>
        </w:rPr>
        <w:t xml:space="preserve">load</w:t>
      </w:r>
      <w:r>
        <w:rPr>
          <w:rStyle w:val="NormalTok"/>
        </w:rPr>
        <w:t xml:space="preserve">(</w:t>
      </w:r>
      <w:r>
        <w:rPr>
          <w:rStyle w:val="StringTok"/>
        </w:rPr>
        <w:t xml:space="preserve">"data/cleaned/data.RData"</w:t>
      </w:r>
      <w:r>
        <w:rPr>
          <w:rStyle w:val="NormalTok"/>
        </w:rPr>
        <w:t xml:space="preserve">)</w:t>
      </w:r>
    </w:p>
    <w:bookmarkStart w:id="51" w:name="annotated-cell-2"/>
    <w:p>
      <w:pPr>
        <w:pStyle w:val="SourceCode"/>
      </w:pPr>
      <w:r>
        <w:rPr>
          <w:rStyle w:val="NormalTok"/>
        </w:rPr>
        <w:t xml:space="preserve">coordinates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29.75</w:t>
      </w:r>
      <w:r>
        <w:rPr>
          <w:rStyle w:val="NormalTok"/>
        </w:rPr>
        <w:t xml:space="preserve">, </w:t>
      </w:r>
      <w:r>
        <w:rPr>
          <w:rStyle w:val="SpecialCharTok"/>
        </w:rPr>
        <w:t xml:space="preserve">-</w:t>
      </w:r>
      <w:r>
        <w:rPr>
          <w:rStyle w:val="FloatTok"/>
        </w:rPr>
        <w:t xml:space="preserve">95.36</w:t>
      </w:r>
      <w:r>
        <w:rPr>
          <w:rStyle w:val="NormalTok"/>
        </w:rPr>
        <w:t xml:space="preserve">)</w:t>
      </w:r>
    </w:p>
    <w:bookmarkEnd w:id="51"/>
    <w:p>
      <w:pPr>
        <w:pStyle w:val="DefinitionTerm"/>
      </w:pPr>
      <w:r>
        <w:t xml:space="preserve">Line 1</w:t>
      </w:r>
    </w:p>
    <w:p>
      <w:pPr>
        <w:pStyle w:val="Definition"/>
      </w:pPr>
      <w:r>
        <w:t xml:space="preserve">Coordinates for Houston, Texas; coordinates are important to calculate and visualize photoperiods later</w:t>
      </w:r>
    </w:p>
    <w:bookmarkEnd w:id="52"/>
    <w:bookmarkEnd w:id="53"/>
    <w:bookmarkStart w:id="154" w:name="results"/>
    <w:p>
      <w:pPr>
        <w:pStyle w:val="Heading2"/>
      </w:pPr>
      <w:r>
        <w:t xml:space="preserve">Results</w:t>
      </w:r>
    </w:p>
    <w:bookmarkStart w:id="97" w:name="distance"/>
    <w:p>
      <w:pPr>
        <w:pStyle w:val="Heading3"/>
      </w:pPr>
      <w:r>
        <w:t xml:space="preserve">Distance</w:t>
      </w:r>
    </w:p>
    <w:p>
      <w:pPr>
        <w:pStyle w:val="FirstParagraph"/>
      </w:pPr>
      <w:r>
        <w:t xml:space="preserve">We first examine metrics related to viewing distance, using the processed</w:t>
      </w:r>
      <w:r>
        <w:t xml:space="preserve"> </w:t>
      </w:r>
      <w:r>
        <w:rPr>
          <w:rStyle w:val="VerbatimChar"/>
        </w:rPr>
        <w:t xml:space="preserve">Clouclip</w:t>
      </w:r>
      <w:r>
        <w:t xml:space="preserve"> </w:t>
      </w:r>
      <w:r>
        <w:t xml:space="preserve">dataset. Many distance-based metrics are computed for each day and then averaged over weekdays, weekends, or across all days. To facilitate this, we define a helper function that will take daily metric values and calculate the mean values for weekdays, weekends, and the overall daily average:</w:t>
      </w:r>
    </w:p>
    <w:bookmarkStart w:id="54" w:name="annotated-cell-3"/>
    <w:p>
      <w:pPr>
        <w:pStyle w:val="SourceCode"/>
      </w:pPr>
      <w:r>
        <w:rPr>
          <w:rStyle w:val="NormalTok"/>
        </w:rPr>
        <w:t xml:space="preserve">to_mean_daily </w:t>
      </w:r>
      <w:r>
        <w:rPr>
          <w:rStyle w:val="OtherTok"/>
        </w:rPr>
        <w:t xml:space="preserve">&lt;-</w:t>
      </w:r>
      <w:r>
        <w:rPr>
          <w:rStyle w:val="NormalTok"/>
        </w:rPr>
        <w:t xml:space="preserve"> </w:t>
      </w:r>
      <w:r>
        <w:rPr>
          <w:rStyle w:val="ControlFlowTok"/>
        </w:rPr>
        <w:t xml:space="preserve">function</w:t>
      </w:r>
      <w:r>
        <w:rPr>
          <w:rStyle w:val="NormalTok"/>
        </w:rPr>
        <w:t xml:space="preserve">(data, </w:t>
      </w:r>
      <w:r>
        <w:rPr>
          <w:rStyle w:val="AttributeTok"/>
        </w:rPr>
        <w:t xml:space="preserve">prefix =</w:t>
      </w:r>
      <w:r>
        <w:rPr>
          <w:rStyle w:val="NormalTok"/>
        </w:rPr>
        <w:t xml:space="preserve"> </w:t>
      </w:r>
      <w:r>
        <w:rPr>
          <w:rStyle w:val="StringTok"/>
        </w:rPr>
        <w:t xml:space="preserve">"average_"</w:t>
      </w:r>
      <w:r>
        <w:rPr>
          <w:rStyle w:val="NormalTok"/>
        </w:rPr>
        <w:t xml:space="preserve">) {</w:t>
      </w:r>
      <w:r>
        <w:br/>
      </w:r>
      <w:r>
        <w:rPr>
          <w:rStyle w:val="NormalTok"/>
        </w:rPr>
        <w:t xml:space="preserve">  data </w:t>
      </w:r>
      <w:r>
        <w:rPr>
          <w:rStyle w:val="SpecialCharTok"/>
        </w:rPr>
        <w:t xml:space="preserve">|&gt;</w:t>
      </w:r>
      <w:r>
        <w:rPr>
          <w:rStyle w:val="NormalTok"/>
        </w:rPr>
        <w:t xml:space="preserve"> </w:t>
      </w:r>
      <w:r>
        <w:br/>
      </w:r>
      <w:r>
        <w:rPr>
          <w:rStyle w:val="NormalTok"/>
        </w:rPr>
        <w:t xml:space="preserve">    </w:t>
      </w:r>
      <w:r>
        <w:rPr>
          <w:rStyle w:val="FunctionTok"/>
        </w:rPr>
        <w:t xml:space="preserve">ungroup</w:t>
      </w:r>
      <w:r>
        <w:rPr>
          <w:rStyle w:val="NormalTok"/>
        </w:rPr>
        <w:t xml:space="preserve">(Date) </w:t>
      </w:r>
      <w:r>
        <w:rPr>
          <w:rStyle w:val="SpecialCharTok"/>
        </w:rPr>
        <w:t xml:space="preserve">|&gt;</w:t>
      </w:r>
      <w:r>
        <w:br/>
      </w:r>
      <w:r>
        <w:rPr>
          <w:rStyle w:val="NormalTok"/>
        </w:rPr>
        <w:t xml:space="preserve">    </w:t>
      </w:r>
      <w:r>
        <w:rPr>
          <w:rStyle w:val="FunctionTok"/>
        </w:rPr>
        <w:t xml:space="preserve">mean_daily</w:t>
      </w:r>
      <w:r>
        <w:rPr>
          <w:rStyle w:val="NormalTok"/>
        </w:rPr>
        <w:t xml:space="preserve">(</w:t>
      </w:r>
      <w:r>
        <w:rPr>
          <w:rStyle w:val="AttributeTok"/>
        </w:rPr>
        <w:t xml:space="preserve">prefix =</w:t>
      </w:r>
      <w:r>
        <w:rPr>
          <w:rStyle w:val="NormalTok"/>
        </w:rPr>
        <w:t xml:space="preserve"> prefix) </w:t>
      </w:r>
      <w:r>
        <w:rPr>
          <w:rStyle w:val="SpecialCharTok"/>
        </w:rPr>
        <w:t xml:space="preserve">|&gt;</w:t>
      </w:r>
      <w:r>
        <w:br/>
      </w:r>
      <w:r>
        <w:rPr>
          <w:rStyle w:val="NormalTok"/>
        </w:rPr>
        <w:t xml:space="preserve">    </w:t>
      </w:r>
      <w:r>
        <w:rPr>
          <w:rStyle w:val="FunctionTok"/>
        </w:rPr>
        <w:t xml:space="preserve">rename_with</w:t>
      </w:r>
      <w:r>
        <w:rPr>
          <w:rStyle w:val="NormalTok"/>
        </w:rPr>
        <w:t xml:space="preserve">(</w:t>
      </w:r>
      <w:r>
        <w:rPr>
          <w:rStyle w:val="AttributeTok"/>
        </w:rPr>
        <w:t xml:space="preserve">.fn =</w:t>
      </w:r>
      <w:r>
        <w:rPr>
          <w:rStyle w:val="NormalTok"/>
        </w:rPr>
        <w:t xml:space="preserve"> \(x) </w:t>
      </w:r>
      <w:r>
        <w:rPr>
          <w:rStyle w:val="FunctionTok"/>
        </w:rPr>
        <w:t xml:space="preserve">str_replace_all</w:t>
      </w:r>
      <w:r>
        <w:rPr>
          <w:rStyle w:val="NormalTok"/>
        </w:rPr>
        <w:t xml:space="preserve">(x,</w:t>
      </w:r>
      <w:r>
        <w:rPr>
          <w:rStyle w:val="StringTok"/>
        </w:rPr>
        <w:t xml:space="preserve">"_"</w:t>
      </w:r>
      <w:r>
        <w:rPr>
          <w:rStyle w:val="NormalTok"/>
        </w:rPr>
        <w:t xml:space="preserve">,</w:t>
      </w:r>
      <w:r>
        <w:rPr>
          <w:rStyle w:val="StringTok"/>
        </w:rPr>
        <w:t xml:space="preserve">" "</w:t>
      </w:r>
      <w:r>
        <w:rPr>
          <w:rStyle w:val="NormalTok"/>
        </w:rPr>
        <w:t xml:space="preserve">)) </w:t>
      </w:r>
      <w:r>
        <w:rPr>
          <w:rStyle w:val="SpecialCharTok"/>
        </w:rPr>
        <w:t xml:space="preserve">|&gt;</w:t>
      </w:r>
      <w:r>
        <w:br/>
      </w:r>
      <w:r>
        <w:rPr>
          <w:rStyle w:val="NormalTok"/>
        </w:rPr>
        <w:t xml:space="preserve">    </w:t>
      </w:r>
      <w:r>
        <w:rPr>
          <w:rStyle w:val="FunctionTok"/>
        </w:rPr>
        <w:t xml:space="preserve">gt</w:t>
      </w:r>
      <w:r>
        <w:rPr>
          <w:rStyle w:val="NormalTok"/>
        </w:rPr>
        <w:t xml:space="preserve">()</w:t>
      </w:r>
      <w:r>
        <w:br/>
      </w:r>
      <w:r>
        <w:rPr>
          <w:rStyle w:val="NormalTok"/>
        </w:rPr>
        <w:t xml:space="preserve">}</w:t>
      </w:r>
    </w:p>
    <w:bookmarkEnd w:id="54"/>
    <w:p>
      <w:pPr>
        <w:pStyle w:val="DefinitionTerm"/>
      </w:pPr>
      <w:r>
        <w:t xml:space="preserve">Line 3</w:t>
      </w:r>
    </w:p>
    <w:p>
      <w:pPr>
        <w:pStyle w:val="Definition"/>
      </w:pPr>
      <w:r>
        <w:t xml:space="preserve">Ungroup by days</w:t>
      </w:r>
    </w:p>
    <w:p>
      <w:pPr>
        <w:pStyle w:val="DefinitionTerm"/>
      </w:pPr>
      <w:r>
        <w:t xml:space="preserve">Line 4</w:t>
      </w:r>
    </w:p>
    <w:p>
      <w:pPr>
        <w:pStyle w:val="Definition"/>
      </w:pPr>
      <w:r>
        <w:t xml:space="preserve">Calculate the averages per grouping</w:t>
      </w:r>
    </w:p>
    <w:p>
      <w:pPr>
        <w:pStyle w:val="DefinitionTerm"/>
      </w:pPr>
      <w:r>
        <w:t xml:space="preserve">Line 5</w:t>
      </w:r>
    </w:p>
    <w:p>
      <w:pPr>
        <w:pStyle w:val="Definition"/>
      </w:pPr>
      <w:r>
        <w:t xml:space="preserve">Remove underscores in names</w:t>
      </w:r>
    </w:p>
    <w:p>
      <w:pPr>
        <w:pStyle w:val="DefinitionTerm"/>
      </w:pPr>
      <w:r>
        <w:t xml:space="preserve">Line 6</w:t>
      </w:r>
    </w:p>
    <w:p>
      <w:pPr>
        <w:pStyle w:val="Definition"/>
      </w:pPr>
      <w:r>
        <w:t xml:space="preserve">Format as a gt table for display</w:t>
      </w:r>
    </w:p>
    <w:bookmarkStart w:id="57" w:name="total-wear-time-daily"/>
    <w:p>
      <w:pPr>
        <w:pStyle w:val="Heading4"/>
      </w:pPr>
      <w:r>
        <w:t xml:space="preserve">Total wear time daily</w:t>
      </w:r>
    </w:p>
    <w:p>
      <w:pPr>
        <w:pStyle w:val="FirstParagraph"/>
      </w:pPr>
      <w:r>
        <w:rPr>
          <w:i/>
          <w:iCs/>
        </w:rPr>
        <w:t xml:space="preserve">Total wear time daily</w:t>
      </w:r>
      <w:r>
        <w:t xml:space="preserve"> refers to the amount of time the device was actively collecting distance data each day (i.e. the time the device was worn and operational). We compute this by summing all intervals where a valid distance measurement is present, ignoring periods where data are missing or the device was off. The results are shown in</w:t>
      </w:r>
      <w:r>
        <w:t xml:space="preserve"> </w:t>
      </w:r>
      <w:hyperlink w:anchor="tbl-wear">
        <w:r>
          <w:rPr>
            <w:rStyle w:val="Hyperlink"/>
          </w:rPr>
          <w:t xml:space="preserve">Table 3</w:t>
        </w:r>
      </w:hyperlink>
      <w:r>
        <w:t xml:space="preserve">.</w:t>
      </w:r>
    </w:p>
    <w:bookmarkStart w:id="55" w:name="annotated-cell-4"/>
    <w:p>
      <w:pPr>
        <w:pStyle w:val="SourceCode"/>
      </w:pPr>
      <w:r>
        <w:rPr>
          <w:rStyle w:val="NormalTok"/>
        </w:rPr>
        <w:t xml:space="preserve">dataCC </w:t>
      </w:r>
      <w:r>
        <w:rPr>
          <w:rStyle w:val="SpecialCharTok"/>
        </w:rPr>
        <w:t xml:space="preserve">|&gt;</w:t>
      </w:r>
      <w:r>
        <w:rPr>
          <w:rStyle w:val="NormalTok"/>
        </w:rPr>
        <w:t xml:space="preserve"> </w:t>
      </w:r>
      <w:r>
        <w:br/>
      </w:r>
      <w:r>
        <w:rPr>
          <w:rStyle w:val="NormalTok"/>
        </w:rPr>
        <w:t xml:space="preserve">  </w:t>
      </w:r>
      <w:r>
        <w:rPr>
          <w:rStyle w:val="FunctionTok"/>
        </w:rPr>
        <w:t xml:space="preserve">durations</w:t>
      </w:r>
      <w:r>
        <w:rPr>
          <w:rStyle w:val="NormalTok"/>
        </w:rPr>
        <w:t xml:space="preserve">(Dis) </w:t>
      </w:r>
      <w:r>
        <w:rPr>
          <w:rStyle w:val="SpecialCharTok"/>
        </w:rPr>
        <w:t xml:space="preserve">|&gt;</w:t>
      </w:r>
      <w:r>
        <w:br/>
      </w:r>
      <w:r>
        <w:rPr>
          <w:rStyle w:val="NormalTok"/>
        </w:rPr>
        <w:t xml:space="preserve">  </w:t>
      </w:r>
      <w:r>
        <w:rPr>
          <w:rStyle w:val="FunctionTok"/>
        </w:rPr>
        <w:t xml:space="preserve">to_mean_daily</w:t>
      </w:r>
      <w:r>
        <w:rPr>
          <w:rStyle w:val="NormalTok"/>
        </w:rPr>
        <w:t xml:space="preserve">(</w:t>
      </w:r>
      <w:r>
        <w:rPr>
          <w:rStyle w:val="StringTok"/>
        </w:rPr>
        <w:t xml:space="preserve">"Total wear "</w:t>
      </w:r>
      <w:r>
        <w:rPr>
          <w:rStyle w:val="NormalTok"/>
        </w:rPr>
        <w:t xml:space="preserve">)</w:t>
      </w:r>
    </w:p>
    <w:bookmarkEnd w:id="55"/>
    <w:p>
      <w:pPr>
        <w:pStyle w:val="DefinitionTerm"/>
      </w:pPr>
      <w:r>
        <w:t xml:space="preserve">Line 2</w:t>
      </w:r>
    </w:p>
    <w:p>
      <w:pPr>
        <w:pStyle w:val="Definition"/>
      </w:pPr>
      <w:r>
        <w:t xml:space="preserve">Calculate total duration of data per day</w:t>
      </w:r>
    </w:p>
    <w:p>
      <w:pPr>
        <w:pStyle w:val="DefinitionTerm"/>
      </w:pPr>
      <w:r>
        <w:t xml:space="preserve">Line 3</w:t>
      </w:r>
    </w:p>
    <w:p>
      <w:pPr>
        <w:pStyle w:val="Definition"/>
      </w:pPr>
      <w:r>
        <w:t xml:space="preserve">Using the helper function defined above</w:t>
      </w:r>
    </w:p>
    <w:tbl>
      <w:tblPr>
        <w:tblStyle w:val="Table"/>
        <w:tblW w:type="pct" w:w="5000"/>
        <w:tblLayout w:type="fixed"/>
        <w:tblLook w:firstRow="0" w:lastRow="0" w:firstColumn="0" w:lastColumn="0" w:noHBand="0" w:noVBand="0" w:val="0000"/>
      </w:tblPr>
      <w:tblGrid>
        <w:gridCol w:w="7920"/>
      </w:tblGrid>
      <w:tr>
        <w:tc>
          <w:tcPr/>
          <w:bookmarkStart w:id="56" w:name="tbl-wear"/>
          <w:p>
            <w:pPr>
              <w:jc w:val="center"/>
            </w:pPr>
            <w:pPr>
              <w:jc w:val="left"/>
              <w:spacing w:before="200"/>
              <w:pStyle w:val="ImageCaption"/>
            </w:pPr>
            <w:r>
              <w:t xml:space="preserve">Table 3: Total wear time per day (average across days)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Date</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Total wear duration</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Clouclip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daily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31448s (~8.74 hours)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34460s (~9.57 hours)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Weekend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23918s (~6.64 hours)</w:t>
                  </w:r>
                </w:p>
              </w:tc>
            </w:tr>
          </w:tbl>
          <w:bookmarkEnd w:id="56"/>
        </w:tc>
      </w:tr>
    </w:tbl>
    <w:bookmarkEnd w:id="57"/>
    <w:bookmarkStart w:id="58" w:name="distance-range"/>
    <w:p>
      <w:pPr>
        <w:pStyle w:val="Heading4"/>
      </w:pPr>
      <w:r>
        <w:t xml:space="preserve">Duration within distance ranges</w:t>
      </w:r>
    </w:p>
    <w:p>
      <w:pPr>
        <w:pStyle w:val="FirstParagraph"/>
      </w:pPr>
      <w:r>
        <w:t xml:space="preserve">Many myopia-relevant metrics concern the time spent at certain viewing distances (e.g.,</w:t>
      </w:r>
      <w:r>
        <w:t xml:space="preserve"> </w:t>
      </w:r>
      <w:r>
        <w:t xml:space="preserve">“near work”</w:t>
      </w:r>
      <w:r>
        <w:t xml:space="preserve"> </w:t>
      </w:r>
      <w:r>
        <w:t xml:space="preserve">vs. intermediate or far distances). We calculate the duration of time spent in specific distance ranges.</w:t>
      </w:r>
      <w:r>
        <w:t xml:space="preserve"> </w:t>
      </w:r>
      <w:hyperlink w:anchor="tbl-nearwork">
        <w:r>
          <w:rPr>
            <w:rStyle w:val="Hyperlink"/>
          </w:rPr>
          <w:t xml:space="preserve">Table 4</w:t>
        </w:r>
      </w:hyperlink>
      <w:r>
        <w:t xml:space="preserve"> </w:t>
      </w:r>
      <w:r>
        <w:t xml:space="preserve">shows the average daily</w:t>
      </w:r>
      <w:r>
        <w:t xml:space="preserve"> </w:t>
      </w:r>
      <w:r>
        <w:rPr>
          <w:i/>
          <w:iCs/>
        </w:rPr>
        <w:t xml:space="preserve">duration of near work</w:t>
      </w:r>
      <w:r>
        <w:t xml:space="preserve">, defined here as time viewing at 15–60 cm.</w:t>
      </w:r>
      <w:r>
        <w:t xml:space="preserve"> </w:t>
      </w:r>
      <w:hyperlink w:anchor="tbl-ranges">
        <w:r>
          <w:rPr>
            <w:rStyle w:val="Hyperlink"/>
          </w:rPr>
          <w:t xml:space="preserve">Table 5</w:t>
        </w:r>
      </w:hyperlink>
      <w:r>
        <w:t xml:space="preserve"> </w:t>
      </w:r>
      <w:r>
        <w:t xml:space="preserve">provides a more detailed breakdown across multiple distance bands.</w:t>
      </w:r>
    </w:p>
    <w:bookmarkEnd w:id="58"/>
    <w:p>
      <w:pPr>
        <w:pStyle w:val="Heading4"/>
      </w:pPr>
      <w:r>
        <w:t xml:space="preserve">Duration of near work</w:t>
      </w:r>
    </w:p>
    <w:bookmarkStart w:id="59" w:name="annotated-cell-29"/>
    <w:p>
      <w:pPr>
        <w:pStyle w:val="SourceCode"/>
      </w:pPr>
      <w:r>
        <w:rPr>
          <w:rStyle w:val="NormalTok"/>
        </w:rPr>
        <w:t xml:space="preserve">dataCC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(Dis </w:t>
      </w:r>
      <w:r>
        <w:rPr>
          <w:rStyle w:val="SpecialCharTok"/>
        </w:rPr>
        <w:t xml:space="preserve">&gt;=</w:t>
      </w:r>
      <w:r>
        <w:rPr>
          <w:rStyle w:val="NormalTok"/>
        </w:rPr>
        <w:t xml:space="preserve"> </w:t>
      </w:r>
      <w:r>
        <w:rPr>
          <w:rStyle w:val="DecValTok"/>
        </w:rPr>
        <w:t xml:space="preserve">15</w:t>
      </w:r>
      <w:r>
        <w:rPr>
          <w:rStyle w:val="NormalTok"/>
        </w:rPr>
        <w:t xml:space="preserve">, Dis </w:t>
      </w:r>
      <w:r>
        <w:rPr>
          <w:rStyle w:val="SpecialCharTok"/>
        </w:rPr>
        <w:t xml:space="preserve">&lt;</w:t>
      </w:r>
      <w:r>
        <w:rPr>
          <w:rStyle w:val="NormalTok"/>
        </w:rPr>
        <w:t xml:space="preserve"> </w:t>
      </w:r>
      <w:r>
        <w:rPr>
          <w:rStyle w:val="DecValTok"/>
        </w:rPr>
        <w:t xml:space="preserve">60</w:t>
      </w:r>
      <w:r>
        <w:rPr>
          <w:rStyle w:val="NormalTok"/>
        </w:rPr>
        <w:t xml:space="preserve">) </w:t>
      </w:r>
      <w:r>
        <w:rPr>
          <w:rStyle w:val="SpecialCharTok"/>
        </w:rPr>
        <w:t xml:space="preserve">|&gt;</w:t>
      </w:r>
      <w:r>
        <w:br/>
      </w:r>
      <w:r>
        <w:rPr>
          <w:rStyle w:val="NormalTok"/>
        </w:rPr>
        <w:t xml:space="preserve">  </w:t>
      </w:r>
      <w:r>
        <w:rPr>
          <w:rStyle w:val="FunctionTok"/>
        </w:rPr>
        <w:t xml:space="preserve">durations</w:t>
      </w:r>
      <w:r>
        <w:rPr>
          <w:rStyle w:val="NormalTok"/>
        </w:rPr>
        <w:t xml:space="preserve">(Dis) </w:t>
      </w:r>
      <w:r>
        <w:rPr>
          <w:rStyle w:val="SpecialCharTok"/>
        </w:rPr>
        <w:t xml:space="preserve">|&gt;</w:t>
      </w:r>
      <w:r>
        <w:br/>
      </w:r>
      <w:r>
        <w:rPr>
          <w:rStyle w:val="NormalTok"/>
        </w:rPr>
        <w:t xml:space="preserve">  </w:t>
      </w:r>
      <w:r>
        <w:rPr>
          <w:rStyle w:val="FunctionTok"/>
        </w:rPr>
        <w:t xml:space="preserve">to_mean_daily</w:t>
      </w:r>
      <w:r>
        <w:rPr>
          <w:rStyle w:val="NormalTok"/>
        </w:rPr>
        <w:t xml:space="preserve">(</w:t>
      </w:r>
      <w:r>
        <w:rPr>
          <w:rStyle w:val="StringTok"/>
        </w:rPr>
        <w:t xml:space="preserve">"Near work "</w:t>
      </w:r>
      <w:r>
        <w:rPr>
          <w:rStyle w:val="NormalTok"/>
        </w:rPr>
        <w:t xml:space="preserve">)</w:t>
      </w:r>
    </w:p>
    <w:bookmarkEnd w:id="59"/>
    <w:p>
      <w:pPr>
        <w:pStyle w:val="DefinitionTerm"/>
      </w:pPr>
      <w:r>
        <w:t xml:space="preserve">Line 2</w:t>
      </w:r>
    </w:p>
    <w:p>
      <w:pPr>
        <w:pStyle w:val="Definition"/>
      </w:pPr>
      <w:r>
        <w:t xml:space="preserve">Consider only distances in [15, 60) cm</w:t>
      </w:r>
    </w:p>
    <w:p>
      <w:pPr>
        <w:pStyle w:val="DefinitionTerm"/>
      </w:pPr>
      <w:r>
        <w:t xml:space="preserve">Line 3</w:t>
      </w:r>
    </w:p>
    <w:p>
      <w:pPr>
        <w:pStyle w:val="Definition"/>
      </w:pPr>
      <w:r>
        <w:t xml:space="preserve">Total duration in that range per day</w:t>
      </w:r>
    </w:p>
    <w:tbl>
      <w:tblPr>
        <w:tblStyle w:val="Table"/>
        <w:tblW w:type="pct" w:w="5000"/>
        <w:tblLayout w:type="fixed"/>
        <w:tblLook w:firstRow="0" w:lastRow="0" w:firstColumn="0" w:lastColumn="0" w:noHBand="0" w:noVBand="0" w:val="0000"/>
      </w:tblPr>
      <w:tblGrid>
        <w:gridCol w:w="7920"/>
      </w:tblGrid>
      <w:tr>
        <w:tc>
          <w:tcPr/>
          <w:bookmarkStart w:id="60" w:name="tbl-nearwork"/>
          <w:p>
            <w:pPr>
              <w:jc w:val="center"/>
            </w:pPr>
            <w:pPr>
              <w:jc w:val="left"/>
              <w:spacing w:before="200"/>
              <w:pStyle w:val="ImageCaption"/>
            </w:pPr>
            <w:r>
              <w:t xml:space="preserve">Table 4: Daily duration of near work (15–60 cm viewing distance)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Date</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Near work duration</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Clouclip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daily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17309s (~4.81 hours)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21173s (~5.88 hours)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Weekend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7648s (~2.12 hours)</w:t>
                  </w:r>
                </w:p>
              </w:tc>
            </w:tr>
          </w:tbl>
          <w:bookmarkEnd w:id="60"/>
        </w:tc>
      </w:tr>
    </w:tbl>
    <w:p>
      <w:pPr>
        <w:pStyle w:val="Heading4"/>
      </w:pPr>
      <w:r>
        <w:t xml:space="preserve">Duration within distance ranges</w:t>
      </w:r>
    </w:p>
    <w:p>
      <w:pPr>
        <w:pStyle w:val="FirstParagraph"/>
      </w:pPr>
      <w:r>
        <w:t xml:space="preserve">First, we define a set of distance breakpoints and descriptive labels for each range:</w:t>
      </w:r>
    </w:p>
    <w:p>
      <w:pPr>
        <w:pStyle w:val="SourceCode"/>
      </w:pPr>
      <w:r>
        <w:rPr>
          <w:rStyle w:val="NormalTok"/>
        </w:rPr>
        <w:t xml:space="preserve">dist_breaks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15</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 </w:t>
      </w:r>
      <w:r>
        <w:rPr>
          <w:rStyle w:val="DecValTok"/>
        </w:rPr>
        <w:t xml:space="preserve">40</w:t>
      </w:r>
      <w:r>
        <w:rPr>
          <w:rStyle w:val="NormalTok"/>
        </w:rPr>
        <w:t xml:space="preserve">, </w:t>
      </w:r>
      <w:r>
        <w:rPr>
          <w:rStyle w:val="DecValTok"/>
        </w:rPr>
        <w:t xml:space="preserve">50</w:t>
      </w:r>
      <w:r>
        <w:rPr>
          <w:rStyle w:val="NormalTok"/>
        </w:rPr>
        <w:t xml:space="preserve">, </w:t>
      </w:r>
      <w:r>
        <w:rPr>
          <w:rStyle w:val="DecValTok"/>
        </w:rPr>
        <w:t xml:space="preserve">60</w:t>
      </w:r>
      <w:r>
        <w:rPr>
          <w:rStyle w:val="NormalTok"/>
        </w:rPr>
        <w:t xml:space="preserve">, </w:t>
      </w:r>
      <w:r>
        <w:rPr>
          <w:rStyle w:val="DecValTok"/>
        </w:rPr>
        <w:t xml:space="preserve">70</w:t>
      </w:r>
      <w:r>
        <w:rPr>
          <w:rStyle w:val="NormalTok"/>
        </w:rPr>
        <w:t xml:space="preserve">, </w:t>
      </w:r>
      <w:r>
        <w:rPr>
          <w:rStyle w:val="DecValTok"/>
        </w:rPr>
        <w:t xml:space="preserve">80</w:t>
      </w:r>
      <w:r>
        <w:rPr>
          <w:rStyle w:val="NormalTok"/>
        </w:rPr>
        <w:t xml:space="preserve">, </w:t>
      </w:r>
      <w:r>
        <w:rPr>
          <w:rStyle w:val="DecValTok"/>
        </w:rPr>
        <w:t xml:space="preserve">90</w:t>
      </w:r>
      <w:r>
        <w:rPr>
          <w:rStyle w:val="NormalTok"/>
        </w:rPr>
        <w:t xml:space="preserve">, </w:t>
      </w:r>
      <w:r>
        <w:rPr>
          <w:rStyle w:val="DecValTok"/>
        </w:rPr>
        <w:t xml:space="preserve">100</w:t>
      </w:r>
      <w:r>
        <w:rPr>
          <w:rStyle w:val="NormalTok"/>
        </w:rPr>
        <w:t xml:space="preserve">, </w:t>
      </w:r>
      <w:r>
        <w:rPr>
          <w:rStyle w:val="ConstantTok"/>
        </w:rPr>
        <w:t xml:space="preserve">Inf</w:t>
      </w:r>
      <w:r>
        <w:rPr>
          <w:rStyle w:val="NormalTok"/>
        </w:rPr>
        <w:t xml:space="preserve">)</w:t>
      </w:r>
      <w:r>
        <w:br/>
      </w:r>
      <w:r>
        <w:rPr>
          <w:rStyle w:val="NormalTok"/>
        </w:rPr>
        <w:t xml:space="preserve">dist_labels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"Extremely near"</w:t>
      </w:r>
      <w:r>
        <w:rPr>
          <w:rStyle w:val="NormalTok"/>
        </w:rPr>
        <w:t xml:space="preserve">,          </w:t>
      </w:r>
      <w:r>
        <w:rPr>
          <w:rStyle w:val="CommentTok"/>
        </w:rPr>
        <w:t xml:space="preserve"># [15, 20)</w:t>
      </w:r>
      <w:r>
        <w:br/>
      </w:r>
      <w:r>
        <w:rPr>
          <w:rStyle w:val="NormalTok"/>
        </w:rPr>
        <w:t xml:space="preserve">    </w:t>
      </w:r>
      <w:r>
        <w:rPr>
          <w:rStyle w:val="StringTok"/>
        </w:rPr>
        <w:t xml:space="preserve">"Very near"</w:t>
      </w:r>
      <w:r>
        <w:rPr>
          <w:rStyle w:val="NormalTok"/>
        </w:rPr>
        <w:t xml:space="preserve">,               </w:t>
      </w:r>
      <w:r>
        <w:rPr>
          <w:rStyle w:val="CommentTok"/>
        </w:rPr>
        <w:t xml:space="preserve"># [20, 30)</w:t>
      </w:r>
      <w:r>
        <w:br/>
      </w:r>
      <w:r>
        <w:rPr>
          <w:rStyle w:val="NormalTok"/>
        </w:rPr>
        <w:t xml:space="preserve">    </w:t>
      </w:r>
      <w:r>
        <w:rPr>
          <w:rStyle w:val="StringTok"/>
        </w:rPr>
        <w:t xml:space="preserve">"Fairly near"</w:t>
      </w:r>
      <w:r>
        <w:rPr>
          <w:rStyle w:val="NormalTok"/>
        </w:rPr>
        <w:t xml:space="preserve">,             </w:t>
      </w:r>
      <w:r>
        <w:rPr>
          <w:rStyle w:val="CommentTok"/>
        </w:rPr>
        <w:t xml:space="preserve"># [30, 40)</w:t>
      </w:r>
      <w:r>
        <w:br/>
      </w:r>
      <w:r>
        <w:rPr>
          <w:rStyle w:val="NormalTok"/>
        </w:rPr>
        <w:t xml:space="preserve">    </w:t>
      </w:r>
      <w:r>
        <w:rPr>
          <w:rStyle w:val="StringTok"/>
        </w:rPr>
        <w:t xml:space="preserve">"Near"</w:t>
      </w:r>
      <w:r>
        <w:rPr>
          <w:rStyle w:val="NormalTok"/>
        </w:rPr>
        <w:t xml:space="preserve">,                    </w:t>
      </w:r>
      <w:r>
        <w:rPr>
          <w:rStyle w:val="CommentTok"/>
        </w:rPr>
        <w:t xml:space="preserve"># [40, 50)</w:t>
      </w:r>
      <w:r>
        <w:br/>
      </w:r>
      <w:r>
        <w:rPr>
          <w:rStyle w:val="NormalTok"/>
        </w:rPr>
        <w:t xml:space="preserve">    </w:t>
      </w:r>
      <w:r>
        <w:rPr>
          <w:rStyle w:val="StringTok"/>
        </w:rPr>
        <w:t xml:space="preserve">"Moderately near"</w:t>
      </w:r>
      <w:r>
        <w:rPr>
          <w:rStyle w:val="NormalTok"/>
        </w:rPr>
        <w:t xml:space="preserve">,         </w:t>
      </w:r>
      <w:r>
        <w:rPr>
          <w:rStyle w:val="CommentTok"/>
        </w:rPr>
        <w:t xml:space="preserve"># [50, 60)</w:t>
      </w:r>
      <w:r>
        <w:br/>
      </w:r>
      <w:r>
        <w:rPr>
          <w:rStyle w:val="NormalTok"/>
        </w:rPr>
        <w:t xml:space="preserve">    </w:t>
      </w:r>
      <w:r>
        <w:rPr>
          <w:rStyle w:val="StringTok"/>
        </w:rPr>
        <w:t xml:space="preserve">"Near intermediate"</w:t>
      </w:r>
      <w:r>
        <w:rPr>
          <w:rStyle w:val="NormalTok"/>
        </w:rPr>
        <w:t xml:space="preserve">,       </w:t>
      </w:r>
      <w:r>
        <w:rPr>
          <w:rStyle w:val="CommentTok"/>
        </w:rPr>
        <w:t xml:space="preserve"># [60, 70)</w:t>
      </w:r>
      <w:r>
        <w:br/>
      </w:r>
      <w:r>
        <w:rPr>
          <w:rStyle w:val="NormalTok"/>
        </w:rPr>
        <w:t xml:space="preserve">    </w:t>
      </w:r>
      <w:r>
        <w:rPr>
          <w:rStyle w:val="StringTok"/>
        </w:rPr>
        <w:t xml:space="preserve">"Intermediate"</w:t>
      </w:r>
      <w:r>
        <w:rPr>
          <w:rStyle w:val="NormalTok"/>
        </w:rPr>
        <w:t xml:space="preserve">,            </w:t>
      </w:r>
      <w:r>
        <w:rPr>
          <w:rStyle w:val="CommentTok"/>
        </w:rPr>
        <w:t xml:space="preserve"># [70, 80)</w:t>
      </w:r>
      <w:r>
        <w:br/>
      </w:r>
      <w:r>
        <w:rPr>
          <w:rStyle w:val="NormalTok"/>
        </w:rPr>
        <w:t xml:space="preserve">    </w:t>
      </w:r>
      <w:r>
        <w:rPr>
          <w:rStyle w:val="StringTok"/>
        </w:rPr>
        <w:t xml:space="preserve">"Moderately intermediate"</w:t>
      </w:r>
      <w:r>
        <w:rPr>
          <w:rStyle w:val="NormalTok"/>
        </w:rPr>
        <w:t xml:space="preserve">, </w:t>
      </w:r>
      <w:r>
        <w:rPr>
          <w:rStyle w:val="CommentTok"/>
        </w:rPr>
        <w:t xml:space="preserve"># [80, 90)</w:t>
      </w:r>
      <w:r>
        <w:br/>
      </w:r>
      <w:r>
        <w:rPr>
          <w:rStyle w:val="NormalTok"/>
        </w:rPr>
        <w:t xml:space="preserve">    </w:t>
      </w:r>
      <w:r>
        <w:rPr>
          <w:rStyle w:val="StringTok"/>
        </w:rPr>
        <w:t xml:space="preserve">"Far intermediate"</w:t>
      </w:r>
      <w:r>
        <w:rPr>
          <w:rStyle w:val="NormalTok"/>
        </w:rPr>
        <w:t xml:space="preserve">,        </w:t>
      </w:r>
      <w:r>
        <w:rPr>
          <w:rStyle w:val="CommentTok"/>
        </w:rPr>
        <w:t xml:space="preserve"># [90, 100)</w:t>
      </w:r>
      <w:r>
        <w:br/>
      </w:r>
      <w:r>
        <w:rPr>
          <w:rStyle w:val="NormalTok"/>
        </w:rPr>
        <w:t xml:space="preserve">    </w:t>
      </w:r>
      <w:r>
        <w:rPr>
          <w:rStyle w:val="StringTok"/>
        </w:rPr>
        <w:t xml:space="preserve">"Far"</w:t>
      </w:r>
      <w:r>
        <w:rPr>
          <w:rStyle w:val="NormalTok"/>
        </w:rPr>
        <w:t xml:space="preserve">                      </w:t>
      </w:r>
      <w:r>
        <w:rPr>
          <w:rStyle w:val="CommentTok"/>
        </w:rPr>
        <w:t xml:space="preserve"># [100, Inf)</w:t>
      </w:r>
      <w:r>
        <w:br/>
      </w:r>
      <w:r>
        <w:rPr>
          <w:rStyle w:val="NormalTok"/>
        </w:rPr>
        <w:t xml:space="preserve">  )</w:t>
      </w:r>
    </w:p>
    <w:p>
      <w:pPr>
        <w:pStyle w:val="FirstParagraph"/>
      </w:pPr>
      <w:r>
        <w:t xml:space="preserve">Now we cut the distance data into these ranges and compute the daily duration spent in each range:</w:t>
      </w:r>
    </w:p>
    <w:bookmarkStart w:id="61" w:name="annotated-cell-31"/>
    <w:p>
      <w:pPr>
        <w:pStyle w:val="SourceCode"/>
      </w:pPr>
      <w:r>
        <w:rPr>
          <w:rStyle w:val="NormalTok"/>
        </w:rPr>
        <w:t xml:space="preserve">dataCC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Dis_range =</w:t>
      </w:r>
      <w:r>
        <w:rPr>
          <w:rStyle w:val="NormalTok"/>
        </w:rPr>
        <w:t xml:space="preserve"> </w:t>
      </w:r>
      <w:r>
        <w:rPr>
          <w:rStyle w:val="FunctionTok"/>
        </w:rPr>
        <w:t xml:space="preserve">cut</w:t>
      </w:r>
      <w:r>
        <w:rPr>
          <w:rStyle w:val="NormalTok"/>
        </w:rPr>
        <w:t xml:space="preserve">(Dis, </w:t>
      </w:r>
      <w:r>
        <w:rPr>
          <w:rStyle w:val="AttributeTok"/>
        </w:rPr>
        <w:t xml:space="preserve">breaks =</w:t>
      </w:r>
      <w:r>
        <w:rPr>
          <w:rStyle w:val="NormalTok"/>
        </w:rPr>
        <w:t xml:space="preserve"> dist_breaks, </w:t>
      </w:r>
      <w:r>
        <w:rPr>
          <w:rStyle w:val="AttributeTok"/>
        </w:rPr>
        <w:t xml:space="preserve">labels =</w:t>
      </w:r>
      <w:r>
        <w:rPr>
          <w:rStyle w:val="NormalTok"/>
        </w:rPr>
        <w:t xml:space="preserve"> dist_labels)) </w:t>
      </w:r>
      <w:r>
        <w:rPr>
          <w:rStyle w:val="SpecialCharTok"/>
        </w:rPr>
        <w:t xml:space="preserve">|&gt;</w:t>
      </w:r>
      <w:r>
        <w:br/>
      </w:r>
      <w:r>
        <w:rPr>
          <w:rStyle w:val="NormalTok"/>
        </w:rPr>
        <w:t xml:space="preserve">  </w:t>
      </w:r>
      <w:r>
        <w:rPr>
          <w:rStyle w:val="FunctionTok"/>
        </w:rPr>
        <w:t xml:space="preserve">drop_na</w:t>
      </w:r>
      <w:r>
        <w:rPr>
          <w:rStyle w:val="NormalTok"/>
        </w:rPr>
        <w:t xml:space="preserve">(Dis_range) </w:t>
      </w:r>
      <w:r>
        <w:rPr>
          <w:rStyle w:val="SpecialCharTok"/>
        </w:rPr>
        <w:t xml:space="preserve">|&gt;</w:t>
      </w:r>
      <w:r>
        <w:br/>
      </w:r>
      <w:r>
        <w:rPr>
          <w:rStyle w:val="NormalTok"/>
        </w:rPr>
        <w:t xml:space="preserve">  </w:t>
      </w:r>
      <w:r>
        <w:rPr>
          <w:rStyle w:val="FunctionTok"/>
        </w:rPr>
        <w:t xml:space="preserve">group_by</w:t>
      </w:r>
      <w:r>
        <w:rPr>
          <w:rStyle w:val="NormalTok"/>
        </w:rPr>
        <w:t xml:space="preserve">(Dis_range, </w:t>
      </w:r>
      <w:r>
        <w:rPr>
          <w:rStyle w:val="AttributeTok"/>
        </w:rPr>
        <w:t xml:space="preserve">.add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durations</w:t>
      </w:r>
      <w:r>
        <w:rPr>
          <w:rStyle w:val="NormalTok"/>
        </w:rPr>
        <w:t xml:space="preserve">(Dis)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Dis_range, </w:t>
      </w:r>
      <w:r>
        <w:rPr>
          <w:rStyle w:val="AttributeTok"/>
        </w:rPr>
        <w:t xml:space="preserve">values_from =</w:t>
      </w:r>
      <w:r>
        <w:rPr>
          <w:rStyle w:val="NormalTok"/>
        </w:rPr>
        <w:t xml:space="preserve"> duration)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mean_daily</w:t>
      </w:r>
      <w:r>
        <w:rPr>
          <w:rStyle w:val="NormalTok"/>
        </w:rPr>
        <w:t xml:space="preserve">(</w:t>
      </w:r>
      <w:r>
        <w:rPr>
          <w:rStyle w:val="AttributeTok"/>
        </w:rPr>
        <w:t xml:space="preserve">prefix =</w:t>
      </w:r>
      <w:r>
        <w:rPr>
          <w:rStyle w:val="NormalTok"/>
        </w:rPr>
        <w:t xml:space="preserve"> </w:t>
      </w:r>
      <w:r>
        <w:rPr>
          <w:rStyle w:val="StringTok"/>
        </w:rPr>
        <w:t xml:space="preserv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pivot_longer</w:t>
      </w:r>
      <w:r>
        <w:rPr>
          <w:rStyle w:val="NormalTok"/>
        </w:rPr>
        <w:t xml:space="preserve">(</w:t>
      </w:r>
      <w:r>
        <w:rPr>
          <w:rStyle w:val="SpecialCharTok"/>
        </w:rPr>
        <w:t xml:space="preserve">-</w:t>
      </w:r>
      <w:r>
        <w:rPr>
          <w:rStyle w:val="NormalTok"/>
        </w:rPr>
        <w:t xml:space="preserve">Date) </w:t>
      </w:r>
      <w:r>
        <w:rPr>
          <w:rStyle w:val="SpecialCharTok"/>
        </w:rPr>
        <w:t xml:space="preserve">|&gt;</w:t>
      </w:r>
      <w:r>
        <w:rPr>
          <w:rStyle w:val="NormalTok"/>
        </w:rPr>
        <w:t xml:space="preserve"> </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Date)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name =</w:t>
      </w:r>
      <w:r>
        <w:rPr>
          <w:rStyle w:val="NormalTok"/>
        </w:rPr>
        <w:t xml:space="preserve"> </w:t>
      </w:r>
      <w:r>
        <w:rPr>
          <w:rStyle w:val="FunctionTok"/>
        </w:rPr>
        <w:t xml:space="preserve">factor</w:t>
      </w:r>
      <w:r>
        <w:rPr>
          <w:rStyle w:val="NormalTok"/>
        </w:rPr>
        <w:t xml:space="preserve">(name, </w:t>
      </w:r>
      <w:r>
        <w:rPr>
          <w:rStyle w:val="AttributeTok"/>
        </w:rPr>
        <w:t xml:space="preserve">levels =</w:t>
      </w:r>
      <w:r>
        <w:rPr>
          <w:rStyle w:val="NormalTok"/>
        </w:rPr>
        <w:t xml:space="preserve"> </w:t>
      </w:r>
      <w:r>
        <w:rPr>
          <w:rStyle w:val="FunctionTok"/>
        </w:rPr>
        <w:t xml:space="preserve">rev</w:t>
      </w:r>
      <w:r>
        <w:rPr>
          <w:rStyle w:val="NormalTok"/>
        </w:rPr>
        <w:t xml:space="preserve">(dist_labels)))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(name)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fmt_duration</w:t>
      </w:r>
      <w:r>
        <w:rPr>
          <w:rStyle w:val="NormalTok"/>
        </w:rPr>
        <w:t xml:space="preserve">(</w:t>
      </w:r>
      <w:r>
        <w:rPr>
          <w:rStyle w:val="AttributeTok"/>
        </w:rPr>
        <w:t xml:space="preserve">input_units =</w:t>
      </w:r>
      <w:r>
        <w:rPr>
          <w:rStyle w:val="NormalTok"/>
        </w:rPr>
        <w:t xml:space="preserve"> </w:t>
      </w:r>
      <w:r>
        <w:rPr>
          <w:rStyle w:val="StringTok"/>
        </w:rPr>
        <w:t xml:space="preserve">"seconds"</w:t>
      </w:r>
      <w:r>
        <w:rPr>
          <w:rStyle w:val="NormalTok"/>
        </w:rPr>
        <w:t xml:space="preserve">, </w:t>
      </w:r>
      <w:r>
        <w:rPr>
          <w:rStyle w:val="AttributeTok"/>
        </w:rPr>
        <w:t xml:space="preserve">output_units =</w:t>
      </w:r>
      <w:r>
        <w:rPr>
          <w:rStyle w:val="NormalTok"/>
        </w:rPr>
        <w:t xml:space="preserve"> </w:t>
      </w:r>
      <w:r>
        <w:rPr>
          <w:rStyle w:val="StringTok"/>
        </w:rPr>
        <w:t xml:space="preserve">"minutes"</w:t>
      </w:r>
      <w:r>
        <w:rPr>
          <w:rStyle w:val="NormalTok"/>
        </w:rPr>
        <w:t xml:space="preserve">)</w:t>
      </w:r>
    </w:p>
    <w:bookmarkEnd w:id="61"/>
    <w:p>
      <w:pPr>
        <w:pStyle w:val="DefinitionTerm"/>
      </w:pPr>
      <w:r>
        <w:t xml:space="preserve">Line 2</w:t>
      </w:r>
    </w:p>
    <w:p>
      <w:pPr>
        <w:pStyle w:val="Definition"/>
      </w:pPr>
      <w:r>
        <w:t xml:space="preserve">Categorize distances</w:t>
      </w:r>
    </w:p>
    <w:p>
      <w:pPr>
        <w:pStyle w:val="DefinitionTerm"/>
      </w:pPr>
      <w:r>
        <w:t xml:space="preserve">Line 3</w:t>
      </w:r>
    </w:p>
    <w:p>
      <w:pPr>
        <w:pStyle w:val="Definition"/>
      </w:pPr>
      <w:r>
        <w:t xml:space="preserve">Remove intervals with no data</w:t>
      </w:r>
    </w:p>
    <w:p>
      <w:pPr>
        <w:pStyle w:val="DefinitionTerm"/>
      </w:pPr>
      <w:r>
        <w:t xml:space="preserve">Line 4</w:t>
      </w:r>
    </w:p>
    <w:p>
      <w:pPr>
        <w:pStyle w:val="Definition"/>
      </w:pPr>
      <w:r>
        <w:t xml:space="preserve">Group by distance range (in addition to the date)</w:t>
      </w:r>
    </w:p>
    <w:p>
      <w:pPr>
        <w:pStyle w:val="DefinitionTerm"/>
      </w:pPr>
      <w:r>
        <w:t xml:space="preserve">Line 5</w:t>
      </w:r>
    </w:p>
    <w:p>
      <w:pPr>
        <w:pStyle w:val="Definition"/>
      </w:pPr>
      <w:r>
        <w:t xml:space="preserve">Duration per range per day</w:t>
      </w:r>
    </w:p>
    <w:p>
      <w:pPr>
        <w:pStyle w:val="DefinitionTerm"/>
      </w:pPr>
      <w:r>
        <w:t xml:space="preserve">Line 6</w:t>
      </w:r>
    </w:p>
    <w:p>
      <w:pPr>
        <w:pStyle w:val="Definition"/>
      </w:pPr>
      <w:r>
        <w:t xml:space="preserve">Pivot data from long to wide format (ranges as columns)</w:t>
      </w:r>
    </w:p>
    <w:p>
      <w:pPr>
        <w:pStyle w:val="DefinitionTerm"/>
      </w:pPr>
      <w:r>
        <w:t xml:space="preserve">Line 14</w:t>
      </w:r>
    </w:p>
    <w:p>
      <w:pPr>
        <w:pStyle w:val="Definition"/>
      </w:pPr>
      <w:r>
        <w:t xml:space="preserve">Convert seconds to minutes</w:t>
      </w:r>
    </w:p>
    <w:tbl>
      <w:tblPr>
        <w:tblStyle w:val="Table"/>
        <w:tblW w:type="pct" w:w="5000"/>
        <w:tblLayout w:type="fixed"/>
        <w:tblLook w:firstRow="0" w:lastRow="0" w:firstColumn="0" w:lastColumn="0" w:noHBand="0" w:noVBand="0" w:val="0000"/>
      </w:tblPr>
      <w:tblGrid>
        <w:gridCol w:w="7920"/>
      </w:tblGrid>
      <w:tr>
        <w:tc>
          <w:tcPr/>
          <w:bookmarkStart w:id="62" w:name="tbl-ranges"/>
          <w:p>
            <w:pPr>
              <w:jc w:val="center"/>
            </w:pPr>
            <w:pPr>
              <w:jc w:val="left"/>
              <w:spacing w:before="200"/>
              <w:pStyle w:val="ImageCaption"/>
            </w:pPr>
            <w:r>
              <w:t xml:space="preserve">Table 5: Daily duration in each viewing distance range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center"/>
                  </w:pPr>
                  <w:r>
                    <w:rPr>
                      <w:rFonts w:ascii="Calibri" w:hAnsi="Calibri"/>
                      <w:sz w:val="20"/>
                    </w:rPr>
                    <w:t xml:space="default">name</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Mean daily</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Weekday</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Weekend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Far intermediate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Moderately intermediate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Intermediate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Near intermediate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Moderately near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Fairly near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Very near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Extremely near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40m</w:t>
                  </w:r>
                </w:p>
              </w:tc>
            </w:tr>
          </w:tbl>
          <w:bookmarkEnd w:id="62"/>
        </w:tc>
      </w:tr>
    </w:tbl>
    <w:p>
      <w:pPr>
        <w:pStyle w:val="BodyText"/>
      </w:pPr>
      <w:r>
        <w:t xml:space="preserve">To visualize this,</w:t>
      </w:r>
      <w:r>
        <w:t xml:space="preserve"> </w:t>
      </w:r>
      <w:hyperlink w:anchor="fig-ranges">
        <w:r>
          <w:rPr>
            <w:rStyle w:val="Hyperlink"/>
          </w:rPr>
          <w:t xml:space="preserve">Figure 1</w:t>
        </w:r>
      </w:hyperlink>
      <w:r>
        <w:t xml:space="preserve"> </w:t>
      </w:r>
      <w:r>
        <w:t xml:space="preserve">illustrates the relative proportion of time spent in each distance range:</w:t>
      </w:r>
    </w:p>
    <w:tbl>
      <w:tblPr>
        <w:tblStyle w:val="Table"/>
        <w:tblW w:type="pct" w:w="5000"/>
        <w:tblLayout w:type="fixed"/>
        <w:tblLook w:firstRow="0" w:lastRow="0" w:firstColumn="0" w:lastColumn="0" w:noHBand="0" w:noVBand="0" w:val="0000"/>
      </w:tblPr>
      <w:tblGrid>
        <w:gridCol w:w="7920"/>
      </w:tblGrid>
      <w:tr>
        <w:tc>
          <w:tcPr/>
          <w:bookmarkStart w:id="66" w:name="fig-ranges"/>
          <w:p>
            <w:pPr>
              <w:pStyle w:val="Compact"/>
              <w:jc w:val="center"/>
            </w:pPr>
            <w:r>
              <w:drawing>
                <wp:inline>
                  <wp:extent cx="5334000" cy="4267200"/>
                  <wp:effectExtent b="0" l="0" r="0" t="0"/>
                  <wp:docPr descr="" title="" id="64" name="Picture"/>
                  <a:graphic>
                    <a:graphicData uri="http://schemas.openxmlformats.org/drawingml/2006/picture">
                      <pic:pic>
                        <pic:nvPicPr>
                          <pic:cNvPr descr="index_files/figure-docx/fig-ranges-1.png" id="65" name="Picture"/>
                          <pic:cNvPicPr>
                            <a:picLocks noChangeArrowheads="1" noChangeAspect="1"/>
                          </pic:cNvPicPr>
                        </pic:nvPicPr>
                        <pic:blipFill>
                          <a:blip r:embed="rId63"/>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Percentage of total time spent in each viewing distance range</w:t>
            </w:r>
          </w:p>
          <w:bookmarkEnd w:id="66"/>
        </w:tc>
      </w:tr>
    </w:tbl>
    <w:p>
      <w:pPr>
        <w:pStyle w:val="Compact"/>
        <w:numPr>
          <w:ilvl w:val="0"/>
          <w:numId w:val="1004"/>
        </w:numPr>
      </w:pPr>
      <w:r>
        <w:t xml:space="preserve">Broadly, this portion repeats the prior code cell</w:t>
      </w:r>
    </w:p>
    <w:p>
      <w:pPr>
        <w:pStyle w:val="Compact"/>
        <w:numPr>
          <w:ilvl w:val="0"/>
          <w:numId w:val="1004"/>
        </w:numPr>
      </w:pPr>
      <w:r>
        <w:t xml:space="preserve">convert to percentage of daily total</w:t>
      </w:r>
    </w:p>
    <w:bookmarkStart w:id="74" w:name="frequency-of-continuous-near-work"/>
    <w:p>
      <w:pPr>
        <w:pStyle w:val="Heading4"/>
      </w:pPr>
      <w:r>
        <w:t xml:space="preserve">Frequency of continuous near work</w:t>
      </w:r>
    </w:p>
    <w:p>
      <w:pPr>
        <w:pStyle w:val="FirstParagraph"/>
      </w:pPr>
      <w:r>
        <w:t xml:space="preserve">Continuous near-work can be understood as sustained viewing within a near distance for some minimum duration, allowing only brief interruptions. We use LightLogR’s</w:t>
      </w:r>
      <w:r>
        <w:t xml:space="preserve"> </w:t>
      </w:r>
      <w:r>
        <w:rPr>
          <w:rStyle w:val="VerbatimChar"/>
        </w:rPr>
        <w:t xml:space="preserve">cluster</w:t>
      </w:r>
      <w:r>
        <w:t xml:space="preserve"> </w:t>
      </w:r>
      <w:r>
        <w:t xml:space="preserve">function to identify episodes of continuous near work. Here, we define a near-work episode as viewing distance between 20 cm and 60 cm that lasts at least 30 minutes, with interruptions of up to 1 minute allowed (meaning short breaks ≤1 min do not end the episode). Using</w:t>
      </w:r>
      <w:r>
        <w:t xml:space="preserve"> </w:t>
      </w:r>
      <w:hyperlink r:id="rId34">
        <w:r>
          <w:rPr>
            <w:rStyle w:val="Hyperlink"/>
          </w:rPr>
          <w:t xml:space="preserve">extract_clusters()</w:t>
        </w:r>
      </w:hyperlink>
      <w:r>
        <w:t xml:space="preserve"> </w:t>
      </w:r>
      <w:r>
        <w:t xml:space="preserve">with those parameters, we count how many such episodes occur per day.</w:t>
      </w:r>
    </w:p>
    <w:p>
      <w:pPr>
        <w:pStyle w:val="BodyText"/>
      </w:pPr>
      <w:hyperlink w:anchor="tbl-continuousnear">
        <w:r>
          <w:rPr>
            <w:rStyle w:val="Hyperlink"/>
          </w:rPr>
          <w:t xml:space="preserve">Table 6</w:t>
        </w:r>
      </w:hyperlink>
      <w:r>
        <w:t xml:space="preserve"> </w:t>
      </w:r>
      <w:r>
        <w:t xml:space="preserve">summarizes the average frequency of continuous near-work episodes per day, and</w:t>
      </w:r>
      <w:r>
        <w:t xml:space="preserve"> </w:t>
      </w:r>
      <w:hyperlink w:anchor="fig-visbreak">
        <w:r>
          <w:rPr>
            <w:rStyle w:val="Hyperlink"/>
          </w:rPr>
          <w:t xml:space="preserve">Figure 2</w:t>
        </w:r>
      </w:hyperlink>
      <w:r>
        <w:t xml:space="preserve"> </w:t>
      </w:r>
      <w:r>
        <w:t xml:space="preserve">provides an example visualization of these episodes on the distance time series.</w:t>
      </w:r>
    </w:p>
    <w:bookmarkStart w:id="67" w:name="annotated-cell-5"/>
    <w:p>
      <w:pPr>
        <w:pStyle w:val="SourceCode"/>
      </w:pPr>
      <w:r>
        <w:rPr>
          <w:rStyle w:val="NormalTok"/>
        </w:rPr>
        <w:t xml:space="preserve">dataCC </w:t>
      </w:r>
      <w:r>
        <w:rPr>
          <w:rStyle w:val="SpecialCharTok"/>
        </w:rPr>
        <w:t xml:space="preserve">|&gt;</w:t>
      </w:r>
      <w:r>
        <w:rPr>
          <w:rStyle w:val="NormalTok"/>
        </w:rPr>
        <w:t xml:space="preserve"> </w:t>
      </w:r>
      <w:r>
        <w:br/>
      </w:r>
      <w:r>
        <w:rPr>
          <w:rStyle w:val="NormalTok"/>
        </w:rPr>
        <w:t xml:space="preserve">  </w:t>
      </w:r>
      <w:r>
        <w:rPr>
          <w:rStyle w:val="FunctionTok"/>
        </w:rPr>
        <w:t xml:space="preserve">extract_clusters</w:t>
      </w:r>
      <w:r>
        <w:rPr>
          <w:rStyle w:val="NormalTok"/>
        </w:rPr>
        <w:t xml:space="preserve">(</w:t>
      </w:r>
      <w:r>
        <w:br/>
      </w:r>
      <w:r>
        <w:rPr>
          <w:rStyle w:val="NormalTok"/>
        </w:rPr>
        <w:t xml:space="preserve">    Dis </w:t>
      </w:r>
      <w:r>
        <w:rPr>
          <w:rStyle w:val="SpecialCharTok"/>
        </w:rPr>
        <w:t xml:space="preserve">&gt;=</w:t>
      </w:r>
      <w:r>
        <w:rPr>
          <w:rStyle w:val="NormalTok"/>
        </w:rPr>
        <w:t xml:space="preserve"> </w:t>
      </w:r>
      <w:r>
        <w:rPr>
          <w:rStyle w:val="DecValTok"/>
        </w:rPr>
        <w:t xml:space="preserve">20</w:t>
      </w:r>
      <w:r>
        <w:rPr>
          <w:rStyle w:val="NormalTok"/>
        </w:rPr>
        <w:t xml:space="preserve"> </w:t>
      </w:r>
      <w:r>
        <w:rPr>
          <w:rStyle w:val="SpecialCharTok"/>
        </w:rPr>
        <w:t xml:space="preserve">&amp;</w:t>
      </w:r>
      <w:r>
        <w:rPr>
          <w:rStyle w:val="NormalTok"/>
        </w:rPr>
        <w:t xml:space="preserve"> Dis </w:t>
      </w:r>
      <w:r>
        <w:rPr>
          <w:rStyle w:val="SpecialCharTok"/>
        </w:rPr>
        <w:t xml:space="preserve">&lt;</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AttributeTok"/>
        </w:rPr>
        <w:t xml:space="preserve">cluster.duration =</w:t>
      </w:r>
      <w:r>
        <w:rPr>
          <w:rStyle w:val="NormalTok"/>
        </w:rPr>
        <w:t xml:space="preserve"> </w:t>
      </w:r>
      <w:r>
        <w:rPr>
          <w:rStyle w:val="StringTok"/>
        </w:rPr>
        <w:t xml:space="preserve">"30 mins"</w:t>
      </w:r>
      <w:r>
        <w:rPr>
          <w:rStyle w:val="NormalTok"/>
        </w:rPr>
        <w:t xml:space="preserve">,</w:t>
      </w:r>
      <w:r>
        <w:br/>
      </w:r>
      <w:r>
        <w:rPr>
          <w:rStyle w:val="NormalTok"/>
        </w:rPr>
        <w:t xml:space="preserve">    </w:t>
      </w:r>
      <w:r>
        <w:rPr>
          <w:rStyle w:val="AttributeTok"/>
        </w:rPr>
        <w:t xml:space="preserve">interruption.duration =</w:t>
      </w:r>
      <w:r>
        <w:rPr>
          <w:rStyle w:val="NormalTok"/>
        </w:rPr>
        <w:t xml:space="preserve"> </w:t>
      </w:r>
      <w:r>
        <w:rPr>
          <w:rStyle w:val="StringTok"/>
        </w:rPr>
        <w:t xml:space="preserve">"1 min"</w:t>
      </w:r>
      <w:r>
        <w:rPr>
          <w:rStyle w:val="NormalTok"/>
        </w:rPr>
        <w:t xml:space="preserve">,</w:t>
      </w:r>
      <w:r>
        <w:br/>
      </w:r>
      <w:r>
        <w:rPr>
          <w:rStyle w:val="NormalTok"/>
        </w:rPr>
        <w:t xml:space="preserve">    </w:t>
      </w:r>
      <w:r>
        <w:rPr>
          <w:rStyle w:val="AttributeTok"/>
        </w:rPr>
        <w:t xml:space="preserve">drop.empty.groups =</w:t>
      </w:r>
      <w:r>
        <w:rPr>
          <w:rStyle w:val="NormalTok"/>
        </w:rPr>
        <w:t xml:space="preserve"> </w:t>
      </w:r>
      <w:r>
        <w:rPr>
          <w:rStyle w:val="ConstantTok"/>
        </w:rPr>
        <w:t xml:space="preserve">FALSE</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summarize_numeric</w:t>
      </w:r>
      <w:r>
        <w:rPr>
          <w:rStyle w:val="NormalTok"/>
        </w:rPr>
        <w:t xml:space="preserve">(</w:t>
      </w:r>
      <w:r>
        <w:rPr>
          <w:rStyle w:val="AttributeTok"/>
        </w:rPr>
        <w:t xml:space="preserve">remove =</w:t>
      </w:r>
      <w:r>
        <w:rPr>
          <w:rStyle w:val="NormalTok"/>
        </w:rPr>
        <w:t xml:space="preserve"> </w:t>
      </w:r>
      <w:r>
        <w:rPr>
          <w:rStyle w:val="FunctionTok"/>
        </w:rPr>
        <w:t xml:space="preserve">c</w:t>
      </w:r>
      <w:r>
        <w:rPr>
          <w:rStyle w:val="NormalTok"/>
        </w:rPr>
        <w:t xml:space="preserve">(</w:t>
      </w:r>
      <w:r>
        <w:rPr>
          <w:rStyle w:val="StringTok"/>
        </w:rPr>
        <w:t xml:space="preserve">"start"</w:t>
      </w:r>
      <w:r>
        <w:rPr>
          <w:rStyle w:val="NormalTok"/>
        </w:rPr>
        <w:t xml:space="preserve">, </w:t>
      </w:r>
      <w:r>
        <w:rPr>
          <w:rStyle w:val="StringTok"/>
        </w:rPr>
        <w:t xml:space="preserve">"end"</w:t>
      </w:r>
      <w:r>
        <w:rPr>
          <w:rStyle w:val="NormalTok"/>
        </w:rPr>
        <w:t xml:space="preserve">, </w:t>
      </w:r>
      <w:r>
        <w:rPr>
          <w:rStyle w:val="StringTok"/>
        </w:rPr>
        <w:t xml:space="preserve">"epoch"</w:t>
      </w:r>
      <w:r>
        <w:rPr>
          <w:rStyle w:val="NormalTok"/>
        </w:rPr>
        <w:t xml:space="preserve">, </w:t>
      </w:r>
      <w:r>
        <w:rPr>
          <w:rStyle w:val="StringTok"/>
        </w:rPr>
        <w:t xml:space="preserve">"duration"</w:t>
      </w:r>
      <w:r>
        <w:rPr>
          <w:rStyle w:val="NormalTok"/>
        </w:rPr>
        <w:t xml:space="preserve">),</w:t>
      </w:r>
      <w:r>
        <w:br/>
      </w:r>
      <w:r>
        <w:rPr>
          <w:rStyle w:val="NormalTok"/>
        </w:rPr>
        <w:t xml:space="preserve">                    </w:t>
      </w:r>
      <w:r>
        <w:rPr>
          <w:rStyle w:val="AttributeTok"/>
        </w:rPr>
        <w:t xml:space="preserve">add.total.duration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mean_daily</w:t>
      </w:r>
      <w:r>
        <w:rPr>
          <w:rStyle w:val="NormalTok"/>
        </w:rPr>
        <w:t xml:space="preserve">(</w:t>
      </w:r>
      <w:r>
        <w:rPr>
          <w:rStyle w:val="AttributeTok"/>
        </w:rPr>
        <w:t xml:space="preserve">prefix =</w:t>
      </w:r>
      <w:r>
        <w:rPr>
          <w:rStyle w:val="NormalTok"/>
        </w:rPr>
        <w:t xml:space="preserve"> </w:t>
      </w:r>
      <w:r>
        <w:rPr>
          <w:rStyle w:val="StringTok"/>
        </w:rPr>
        <w:t xml:space="preserve">"Frequency of "</w:t>
      </w:r>
      <w:r>
        <w:rPr>
          <w:rStyle w:val="NormalTok"/>
        </w:rPr>
        <w:t xml:space="preserve">) </w:t>
      </w:r>
      <w:r>
        <w:rPr>
          <w:rStyle w:val="SpecialCharTok"/>
        </w:rPr>
        <w:t xml:space="preserve">|&gt;</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rPr>
          <w:rStyle w:val="FunctionTok"/>
        </w:rPr>
        <w:t xml:space="preserve">fmt_number</w:t>
      </w:r>
      <w:r>
        <w:rPr>
          <w:rStyle w:val="NormalTok"/>
        </w:rPr>
        <w:t xml:space="preserve">() </w:t>
      </w:r>
    </w:p>
    <w:bookmarkEnd w:id="67"/>
    <w:p>
      <w:pPr>
        <w:pStyle w:val="DefinitionTerm"/>
      </w:pPr>
      <w:r>
        <w:t xml:space="preserve">Line 3</w:t>
      </w:r>
    </w:p>
    <w:p>
      <w:pPr>
        <w:pStyle w:val="Definition"/>
      </w:pPr>
      <w:r>
        <w:t xml:space="preserve">condition: near-work distance</w:t>
      </w:r>
    </w:p>
    <w:p>
      <w:pPr>
        <w:pStyle w:val="DefinitionTerm"/>
      </w:pPr>
      <w:r>
        <w:t xml:space="preserve">Line 4</w:t>
      </w:r>
    </w:p>
    <w:p>
      <w:pPr>
        <w:pStyle w:val="Definition"/>
      </w:pPr>
      <w:r>
        <w:t xml:space="preserve">minimum duration of a continuous episode</w:t>
      </w:r>
    </w:p>
    <w:p>
      <w:pPr>
        <w:pStyle w:val="DefinitionTerm"/>
      </w:pPr>
      <w:r>
        <w:t xml:space="preserve">Line 5</w:t>
      </w:r>
    </w:p>
    <w:p>
      <w:pPr>
        <w:pStyle w:val="Definition"/>
      </w:pPr>
      <w:r>
        <w:t xml:space="preserve">maximum gap allowed within an episode</w:t>
      </w:r>
    </w:p>
    <w:p>
      <w:pPr>
        <w:pStyle w:val="DefinitionTerm"/>
      </w:pPr>
      <w:r>
        <w:t xml:space="preserve">Line 6</w:t>
      </w:r>
    </w:p>
    <w:p>
      <w:pPr>
        <w:pStyle w:val="Definition"/>
      </w:pPr>
      <w:r>
        <w:t xml:space="preserve">keep days with zero episodes in output</w:t>
      </w:r>
    </w:p>
    <w:p>
      <w:pPr>
        <w:pStyle w:val="DefinitionTerm"/>
      </w:pPr>
      <w:r>
        <w:t xml:space="preserve">Line 9</w:t>
      </w:r>
    </w:p>
    <w:p>
      <w:pPr>
        <w:pStyle w:val="Definition"/>
      </w:pPr>
      <w:r>
        <w:t xml:space="preserve">count number of episodes per day</w:t>
      </w:r>
    </w:p>
    <w:p>
      <w:pPr>
        <w:pStyle w:val="DefinitionTerm"/>
      </w:pPr>
      <w:r>
        <w:t xml:space="preserve">Line 10</w:t>
      </w:r>
    </w:p>
    <w:p>
      <w:pPr>
        <w:pStyle w:val="Definition"/>
      </w:pPr>
      <w:r>
        <w:t xml:space="preserve">compute daily mean frequency</w:t>
      </w:r>
    </w:p>
    <w:tbl>
      <w:tblPr>
        <w:tblStyle w:val="Table"/>
        <w:tblW w:type="pct" w:w="5000"/>
        <w:tblLayout w:type="fixed"/>
        <w:tblLook w:firstRow="0" w:lastRow="0" w:firstColumn="0" w:lastColumn="0" w:noHBand="0" w:noVBand="0" w:val="0000"/>
      </w:tblPr>
      <w:tblGrid>
        <w:gridCol w:w="7920"/>
      </w:tblGrid>
      <w:tr>
        <w:tc>
          <w:tcPr/>
          <w:bookmarkStart w:id="68" w:name="tbl-continuousnear"/>
          <w:p>
            <w:pPr>
              <w:jc w:val="center"/>
            </w:pPr>
            <w:pPr>
              <w:jc w:val="left"/>
              <w:spacing w:before="200"/>
              <w:pStyle w:val="ImageCaption"/>
            </w:pPr>
            <w:r>
              <w:t xml:space="preserve">Table 6: Frequency of continuous near-work episodes per day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Date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Frequency of episodes</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Clouclip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daily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Weekday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Weekend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bl>
          <w:bookmarkEnd w:id="68"/>
        </w:tc>
      </w:tr>
    </w:tbl>
    <w:bookmarkStart w:id="69" w:name="annotated-cell-6"/>
    <w:p>
      <w:pPr>
        <w:pStyle w:val="SourceCode"/>
      </w:pPr>
      <w:r>
        <w:rPr>
          <w:rStyle w:val="NormalTok"/>
        </w:rPr>
        <w:t xml:space="preserve">dataCC </w:t>
      </w:r>
      <w:r>
        <w:rPr>
          <w:rStyle w:val="SpecialCharTok"/>
        </w:rPr>
        <w:t xml:space="preserve">|&gt;</w:t>
      </w:r>
      <w:r>
        <w:br/>
      </w:r>
      <w:r>
        <w:rPr>
          <w:rStyle w:val="NormalTok"/>
        </w:rPr>
        <w:t xml:space="preserve">  </w:t>
      </w:r>
      <w:r>
        <w:rPr>
          <w:rStyle w:val="FunctionTok"/>
        </w:rPr>
        <w:t xml:space="preserve">add_clusters</w:t>
      </w:r>
      <w:r>
        <w:rPr>
          <w:rStyle w:val="NormalTok"/>
        </w:rPr>
        <w:t xml:space="preserve">(</w:t>
      </w:r>
      <w:r>
        <w:br/>
      </w:r>
      <w:r>
        <w:rPr>
          <w:rStyle w:val="NormalTok"/>
        </w:rPr>
        <w:t xml:space="preserve">    Dis </w:t>
      </w:r>
      <w:r>
        <w:rPr>
          <w:rStyle w:val="SpecialCharTok"/>
        </w:rPr>
        <w:t xml:space="preserve">&gt;=</w:t>
      </w:r>
      <w:r>
        <w:rPr>
          <w:rStyle w:val="NormalTok"/>
        </w:rPr>
        <w:t xml:space="preserve"> </w:t>
      </w:r>
      <w:r>
        <w:rPr>
          <w:rStyle w:val="DecValTok"/>
        </w:rPr>
        <w:t xml:space="preserve">20</w:t>
      </w:r>
      <w:r>
        <w:rPr>
          <w:rStyle w:val="NormalTok"/>
        </w:rPr>
        <w:t xml:space="preserve"> </w:t>
      </w:r>
      <w:r>
        <w:rPr>
          <w:rStyle w:val="SpecialCharTok"/>
        </w:rPr>
        <w:t xml:space="preserve">&amp;</w:t>
      </w:r>
      <w:r>
        <w:rPr>
          <w:rStyle w:val="NormalTok"/>
        </w:rPr>
        <w:t xml:space="preserve"> Dis </w:t>
      </w:r>
      <w:r>
        <w:rPr>
          <w:rStyle w:val="SpecialCharTok"/>
        </w:rPr>
        <w:t xml:space="preserve">&lt;</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AttributeTok"/>
        </w:rPr>
        <w:t xml:space="preserve">cluster.duration =</w:t>
      </w:r>
      <w:r>
        <w:rPr>
          <w:rStyle w:val="NormalTok"/>
        </w:rPr>
        <w:t xml:space="preserve"> </w:t>
      </w:r>
      <w:r>
        <w:rPr>
          <w:rStyle w:val="StringTok"/>
        </w:rPr>
        <w:t xml:space="preserve">"30 mins"</w:t>
      </w:r>
      <w:r>
        <w:rPr>
          <w:rStyle w:val="NormalTok"/>
        </w:rPr>
        <w:t xml:space="preserve">,</w:t>
      </w:r>
      <w:r>
        <w:br/>
      </w:r>
      <w:r>
        <w:rPr>
          <w:rStyle w:val="NormalTok"/>
        </w:rPr>
        <w:t xml:space="preserve">    </w:t>
      </w:r>
      <w:r>
        <w:rPr>
          <w:rStyle w:val="AttributeTok"/>
        </w:rPr>
        <w:t xml:space="preserve">interruption.duration =</w:t>
      </w:r>
      <w:r>
        <w:rPr>
          <w:rStyle w:val="NormalTok"/>
        </w:rPr>
        <w:t xml:space="preserve"> </w:t>
      </w:r>
      <w:r>
        <w:rPr>
          <w:rStyle w:val="StringTok"/>
        </w:rPr>
        <w:t xml:space="preserve">"1 min"</w:t>
      </w:r>
      <w:r>
        <w:br/>
      </w:r>
      <w:r>
        <w:rPr>
          <w:rStyle w:val="NormalTok"/>
        </w:rPr>
        <w:t xml:space="preserve">  ) </w:t>
      </w:r>
      <w:r>
        <w:rPr>
          <w:rStyle w:val="SpecialCharTok"/>
        </w:rPr>
        <w:t xml:space="preserve">|&gt;</w:t>
      </w:r>
      <w:r>
        <w:br/>
      </w:r>
      <w:r>
        <w:rPr>
          <w:rStyle w:val="NormalTok"/>
        </w:rPr>
        <w:t xml:space="preserve">  </w:t>
      </w:r>
      <w:r>
        <w:rPr>
          <w:rStyle w:val="FunctionTok"/>
        </w:rPr>
        <w:t xml:space="preserve">gg_day</w:t>
      </w:r>
      <w:r>
        <w:rPr>
          <w:rStyle w:val="NormalTok"/>
        </w:rPr>
        <w:t xml:space="preserve">(</w:t>
      </w:r>
      <w:r>
        <w:rPr>
          <w:rStyle w:val="AttributeTok"/>
        </w:rPr>
        <w:t xml:space="preserve">y.axis =</w:t>
      </w:r>
      <w:r>
        <w:rPr>
          <w:rStyle w:val="NormalTok"/>
        </w:rPr>
        <w:t xml:space="preserve"> Dis, </w:t>
      </w:r>
      <w:r>
        <w:rPr>
          <w:rStyle w:val="AttributeTok"/>
        </w:rPr>
        <w:t xml:space="preserve">y.axis.label =</w:t>
      </w:r>
      <w:r>
        <w:rPr>
          <w:rStyle w:val="NormalTok"/>
        </w:rPr>
        <w:t xml:space="preserve"> </w:t>
      </w:r>
      <w:r>
        <w:rPr>
          <w:rStyle w:val="StringTok"/>
        </w:rPr>
        <w:t xml:space="preserve">"Distance (cm)"</w:t>
      </w:r>
      <w:r>
        <w:rPr>
          <w:rStyle w:val="NormalTok"/>
        </w:rPr>
        <w:t xml:space="preserve">, </w:t>
      </w:r>
      <w:r>
        <w:rPr>
          <w:rStyle w:val="AttributeTok"/>
        </w:rPr>
        <w:t xml:space="preserve">geom =</w:t>
      </w:r>
      <w:r>
        <w:rPr>
          <w:rStyle w:val="NormalTok"/>
        </w:rPr>
        <w:t xml:space="preserve"> </w:t>
      </w:r>
      <w:r>
        <w:rPr>
          <w:rStyle w:val="StringTok"/>
        </w:rPr>
        <w:t xml:space="preserve">"line"</w:t>
      </w:r>
      <w:r>
        <w:rPr>
          <w:rStyle w:val="NormalTok"/>
        </w:rPr>
        <w:t xml:space="preserve">,</w:t>
      </w:r>
      <w:r>
        <w:br/>
      </w:r>
      <w:r>
        <w:rPr>
          <w:rStyle w:val="NormalTok"/>
        </w:rPr>
        <w:t xml:space="preserve">         </w:t>
      </w:r>
      <w:r>
        <w:rPr>
          <w:rStyle w:val="AttributeTok"/>
        </w:rPr>
        <w:t xml:space="preserve">y.scale =</w:t>
      </w:r>
      <w:r>
        <w:rPr>
          <w:rStyle w:val="NormalTok"/>
        </w:rPr>
        <w:t xml:space="preserve"> </w:t>
      </w:r>
      <w:r>
        <w:rPr>
          <w:rStyle w:val="StringTok"/>
        </w:rPr>
        <w:t xml:space="preserve">"identity"</w:t>
      </w:r>
      <w:r>
        <w:rPr>
          <w:rStyle w:val="NormalTok"/>
        </w:rPr>
        <w:t xml:space="preserve">, </w:t>
      </w:r>
      <w:r>
        <w:rPr>
          <w:rStyle w:val="AttributeTok"/>
        </w:rPr>
        <w:t xml:space="preserve">y.axis.breaks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w:t>
      </w:r>
      <w:r>
        <w:rPr>
          <w:rStyle w:val="DecValTok"/>
        </w:rPr>
        <w:t xml:space="preserve">100</w:t>
      </w:r>
      <w:r>
        <w:rPr>
          <w:rStyle w:val="NormalTok"/>
        </w:rPr>
        <w:t xml:space="preserve">, </w:t>
      </w:r>
      <w:r>
        <w:rPr>
          <w:rStyle w:val="AttributeTok"/>
        </w:rPr>
        <w:t xml:space="preserve">by =</w:t>
      </w:r>
      <w:r>
        <w:rPr>
          <w:rStyle w:val="NormalTok"/>
        </w:rPr>
        <w:t xml:space="preserve"> </w:t>
      </w:r>
      <w:r>
        <w:rPr>
          <w:rStyle w:val="DecValTok"/>
        </w:rPr>
        <w:t xml:space="preserve">20</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gg_photoperiod</w:t>
      </w:r>
      <w:r>
        <w:rPr>
          <w:rStyle w:val="NormalTok"/>
        </w:rPr>
        <w:t xml:space="preserve">(coordinates) </w:t>
      </w:r>
      <w:r>
        <w:rPr>
          <w:rStyle w:val="SpecialCharTok"/>
        </w:rPr>
        <w:t xml:space="preserve">|&gt;</w:t>
      </w:r>
      <w:r>
        <w:br/>
      </w:r>
      <w:r>
        <w:rPr>
          <w:rStyle w:val="NormalTok"/>
        </w:rPr>
        <w:t xml:space="preserve">  </w:t>
      </w:r>
      <w:r>
        <w:rPr>
          <w:rStyle w:val="FunctionTok"/>
        </w:rPr>
        <w:t xml:space="preserve">gg_state</w:t>
      </w:r>
      <w:r>
        <w:rPr>
          <w:rStyle w:val="NormalTok"/>
        </w:rPr>
        <w:t xml:space="preserve">(state, </w:t>
      </w:r>
      <w:r>
        <w:rPr>
          <w:rStyle w:val="AttributeTok"/>
        </w:rPr>
        <w:t xml:space="preserve">fill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FunctionTok"/>
        </w:rPr>
        <w:t xml:space="preserve">c</w:t>
      </w:r>
      <w:r>
        <w:rPr>
          <w:rStyle w:val="NormalTok"/>
        </w:rPr>
        <w:t xml:space="preserve">(</w:t>
      </w:r>
      <w:r>
        <w:rPr>
          <w:rStyle w:val="DecValTok"/>
        </w:rPr>
        <w:t xml:space="preserve">20</w:t>
      </w:r>
      <w:r>
        <w:rPr>
          <w:rStyle w:val="NormalTok"/>
        </w:rPr>
        <w:t xml:space="preserve">, </w:t>
      </w:r>
      <w:r>
        <w:rPr>
          <w:rStyle w:val="DecValTok"/>
        </w:rPr>
        <w:t xml:space="preserve">60</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100</w:t>
      </w:r>
      <w:r>
        <w:rPr>
          <w:rStyle w:val="NormalTok"/>
        </w:rPr>
        <w:t xml:space="preserve">))</w:t>
      </w:r>
    </w:p>
    <w:bookmarkEnd w:id="69"/>
    <w:p>
      <w:pPr>
        <w:pStyle w:val="DefinitionTerm"/>
      </w:pPr>
      <w:r>
        <w:t xml:space="preserve">Lines 1-6</w:t>
      </w:r>
    </w:p>
    <w:p>
      <w:pPr>
        <w:pStyle w:val="Definition"/>
      </w:pPr>
      <w:r>
        <w:t xml:space="preserve">As in code cell above</w:t>
      </w:r>
    </w:p>
    <w:p>
      <w:pPr>
        <w:pStyle w:val="DefinitionTerm"/>
      </w:pPr>
      <w:r>
        <w:t xml:space="preserve">Line 9</w:t>
      </w:r>
    </w:p>
    <w:p>
      <w:pPr>
        <w:pStyle w:val="Definition"/>
      </w:pPr>
      <w:r>
        <w:t xml:space="preserve">Add photoperiod information</w:t>
      </w:r>
    </w:p>
    <w:p>
      <w:pPr>
        <w:pStyle w:val="DefinitionTerm"/>
      </w:pPr>
      <w:r>
        <w:t xml:space="preserve">Line 10</w:t>
      </w:r>
    </w:p>
    <w:p>
      <w:pPr>
        <w:pStyle w:val="Definition"/>
      </w:pPr>
      <w:r>
        <w:t xml:space="preserve">Add state bands</w:t>
      </w:r>
    </w:p>
    <w:tbl>
      <w:tblPr>
        <w:tblStyle w:val="Table"/>
        <w:tblW w:type="pct" w:w="5000"/>
        <w:tblLayout w:type="fixed"/>
        <w:tblLook w:firstRow="0" w:lastRow="0" w:firstColumn="0" w:lastColumn="0" w:noHBand="0" w:noVBand="0" w:val="0000"/>
      </w:tblPr>
      <w:tblGrid>
        <w:gridCol w:w="7920"/>
      </w:tblGrid>
      <w:tr>
        <w:tc>
          <w:tcPr/>
          <w:bookmarkStart w:id="73" w:name="fig-visbreak"/>
          <w:p>
            <w:pPr>
              <w:pStyle w:val="Compact"/>
              <w:jc w:val="center"/>
            </w:pPr>
            <w:r>
              <w:drawing>
                <wp:inline>
                  <wp:extent cx="5334000" cy="8534400"/>
                  <wp:effectExtent b="0" l="0" r="0" t="0"/>
                  <wp:docPr descr="" title="" id="71" name="Picture"/>
                  <a:graphic>
                    <a:graphicData uri="http://schemas.openxmlformats.org/drawingml/2006/picture">
                      <pic:pic>
                        <pic:nvPicPr>
                          <pic:cNvPr descr="index_files/figure-docx/fig-visbreak-1.png" id="72" name="Picture"/>
                          <pic:cNvPicPr>
                            <a:picLocks noChangeArrowheads="1" noChangeAspect="1"/>
                          </pic:cNvPicPr>
                        </pic:nvPicPr>
                        <pic:blipFill>
                          <a:blip r:embed="rId70"/>
                          <a:stretch>
                            <a:fillRect/>
                          </a:stretch>
                        </pic:blipFill>
                        <pic:spPr bwMode="auto">
                          <a:xfrm>
                            <a:off x="0" y="0"/>
                            <a:ext cx="5334000" cy="8534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Example of continuous near-work episodes. Red shaded areas indicate periods of continuous near work (20–60 cm for ≥30 min, allowing ≤1 min interruptions). Black trace is viewing distance over time; red dashed lines mark the 20 cm and 60 cm boundaries. Grey shaded areas indicate nighttime.</w:t>
            </w:r>
          </w:p>
          <w:bookmarkEnd w:id="73"/>
        </w:tc>
      </w:tr>
    </w:tbl>
    <w:bookmarkEnd w:id="74"/>
    <w:bookmarkStart w:id="77" w:name="near-work-episodes"/>
    <w:p>
      <w:pPr>
        <w:pStyle w:val="Heading4"/>
      </w:pPr>
      <w:r>
        <w:t xml:space="preserve">Near-work episodes</w:t>
      </w:r>
    </w:p>
    <w:p>
      <w:pPr>
        <w:pStyle w:val="FirstParagraph"/>
      </w:pPr>
      <w:r>
        <w:t xml:space="preserve">Beyond frequency, we can characterize near-work episodes by their duration and typical viewing distance. This section extracts all near-work episodes (using a 5-second minimum duration to capture more routine near-work bouts) and summarizes three aspects:</w:t>
      </w:r>
    </w:p>
    <w:p>
      <w:pPr>
        <w:pStyle w:val="Compact"/>
        <w:numPr>
          <w:ilvl w:val="0"/>
          <w:numId w:val="1005"/>
        </w:numPr>
      </w:pPr>
      <w:r>
        <w:t xml:space="preserve">frequency (count of episodes per day),</w:t>
      </w:r>
    </w:p>
    <w:p>
      <w:pPr>
        <w:pStyle w:val="Compact"/>
        <w:numPr>
          <w:ilvl w:val="0"/>
          <w:numId w:val="1005"/>
        </w:numPr>
      </w:pPr>
      <w:r>
        <w:t xml:space="preserve">average duration of episodes, and</w:t>
      </w:r>
    </w:p>
    <w:p>
      <w:pPr>
        <w:pStyle w:val="Compact"/>
        <w:numPr>
          <w:ilvl w:val="0"/>
          <w:numId w:val="1005"/>
        </w:numPr>
      </w:pPr>
      <w:r>
        <w:t xml:space="preserve">average distance during those episodes.</w:t>
      </w:r>
    </w:p>
    <w:p>
      <w:pPr>
        <w:pStyle w:val="FirstParagraph"/>
      </w:pPr>
      <w:r>
        <w:t xml:space="preserve">These results are combined in</w:t>
      </w:r>
      <w:r>
        <w:t xml:space="preserve"> </w:t>
      </w:r>
      <w:hyperlink w:anchor="tbl-nearworkepisodes">
        <w:r>
          <w:rPr>
            <w:rStyle w:val="Hyperlink"/>
          </w:rPr>
          <w:t xml:space="preserve">Table 7</w:t>
        </w:r>
      </w:hyperlink>
      <w:r>
        <w:t xml:space="preserve">.</w:t>
      </w:r>
    </w:p>
    <w:bookmarkStart w:id="75" w:name="annotated-cell-7"/>
    <w:p>
      <w:pPr>
        <w:pStyle w:val="SourceCode"/>
      </w:pPr>
      <w:r>
        <w:rPr>
          <w:rStyle w:val="NormalTok"/>
        </w:rPr>
        <w:t xml:space="preserve">dataCC </w:t>
      </w:r>
      <w:r>
        <w:rPr>
          <w:rStyle w:val="SpecialCharTok"/>
        </w:rPr>
        <w:t xml:space="preserve">|&gt;</w:t>
      </w:r>
      <w:r>
        <w:rPr>
          <w:rStyle w:val="NormalTok"/>
        </w:rPr>
        <w:t xml:space="preserve"> </w:t>
      </w:r>
      <w:r>
        <w:br/>
      </w:r>
      <w:r>
        <w:rPr>
          <w:rStyle w:val="NormalTok"/>
        </w:rPr>
        <w:t xml:space="preserve">  </w:t>
      </w:r>
      <w:r>
        <w:rPr>
          <w:rStyle w:val="FunctionTok"/>
        </w:rPr>
        <w:t xml:space="preserve">extract_clusters</w:t>
      </w:r>
      <w:r>
        <w:rPr>
          <w:rStyle w:val="NormalTok"/>
        </w:rPr>
        <w:t xml:space="preserve">(</w:t>
      </w:r>
      <w:r>
        <w:br/>
      </w:r>
      <w:r>
        <w:rPr>
          <w:rStyle w:val="NormalTok"/>
        </w:rPr>
        <w:t xml:space="preserve">    Dis </w:t>
      </w:r>
      <w:r>
        <w:rPr>
          <w:rStyle w:val="SpecialCharTok"/>
        </w:rPr>
        <w:t xml:space="preserve">&gt;=</w:t>
      </w:r>
      <w:r>
        <w:rPr>
          <w:rStyle w:val="NormalTok"/>
        </w:rPr>
        <w:t xml:space="preserve"> </w:t>
      </w:r>
      <w:r>
        <w:rPr>
          <w:rStyle w:val="DecValTok"/>
        </w:rPr>
        <w:t xml:space="preserve">20</w:t>
      </w:r>
      <w:r>
        <w:rPr>
          <w:rStyle w:val="NormalTok"/>
        </w:rPr>
        <w:t xml:space="preserve"> </w:t>
      </w:r>
      <w:r>
        <w:rPr>
          <w:rStyle w:val="SpecialCharTok"/>
        </w:rPr>
        <w:t xml:space="preserve">&amp;</w:t>
      </w:r>
      <w:r>
        <w:rPr>
          <w:rStyle w:val="NormalTok"/>
        </w:rPr>
        <w:t xml:space="preserve"> Dis </w:t>
      </w:r>
      <w:r>
        <w:rPr>
          <w:rStyle w:val="SpecialCharTok"/>
        </w:rPr>
        <w:t xml:space="preserve">&lt;</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AttributeTok"/>
        </w:rPr>
        <w:t xml:space="preserve">cluster.duration =</w:t>
      </w:r>
      <w:r>
        <w:rPr>
          <w:rStyle w:val="NormalTok"/>
        </w:rPr>
        <w:t xml:space="preserve"> </w:t>
      </w:r>
      <w:r>
        <w:rPr>
          <w:rStyle w:val="StringTok"/>
        </w:rPr>
        <w:t xml:space="preserve">"5 secs"</w:t>
      </w:r>
      <w:r>
        <w:rPr>
          <w:rStyle w:val="NormalTok"/>
        </w:rPr>
        <w:t xml:space="preserve">,</w:t>
      </w:r>
      <w:r>
        <w:br/>
      </w:r>
      <w:r>
        <w:rPr>
          <w:rStyle w:val="NormalTok"/>
        </w:rPr>
        <w:t xml:space="preserve">    </w:t>
      </w:r>
      <w:r>
        <w:rPr>
          <w:rStyle w:val="AttributeTok"/>
        </w:rPr>
        <w:t xml:space="preserve">interruption.duration =</w:t>
      </w:r>
      <w:r>
        <w:rPr>
          <w:rStyle w:val="NormalTok"/>
        </w:rPr>
        <w:t xml:space="preserve"> </w:t>
      </w:r>
      <w:r>
        <w:rPr>
          <w:rStyle w:val="StringTok"/>
        </w:rPr>
        <w:t xml:space="preserve">"20 secs"</w:t>
      </w:r>
      <w:r>
        <w:rPr>
          <w:rStyle w:val="NormalTok"/>
        </w:rPr>
        <w:t xml:space="preserve">,</w:t>
      </w:r>
      <w:r>
        <w:br/>
      </w:r>
      <w:r>
        <w:rPr>
          <w:rStyle w:val="NormalTok"/>
        </w:rPr>
        <w:t xml:space="preserve">    </w:t>
      </w:r>
      <w:r>
        <w:rPr>
          <w:rStyle w:val="AttributeTok"/>
        </w:rPr>
        <w:t xml:space="preserve">drop.empty.groups =</w:t>
      </w:r>
      <w:r>
        <w:rPr>
          <w:rStyle w:val="NormalTok"/>
        </w:rPr>
        <w:t xml:space="preserve"> </w:t>
      </w:r>
      <w:r>
        <w:rPr>
          <w:rStyle w:val="ConstantTok"/>
        </w:rPr>
        <w:t xml:space="preserve">FALSE</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extract_metric</w:t>
      </w:r>
      <w:r>
        <w:rPr>
          <w:rStyle w:val="NormalTok"/>
        </w:rPr>
        <w:t xml:space="preserve">(dataCC, </w:t>
      </w:r>
      <w:r>
        <w:rPr>
          <w:rStyle w:val="AttributeTok"/>
        </w:rPr>
        <w:t xml:space="preserve">distance =</w:t>
      </w:r>
      <w:r>
        <w:rPr>
          <w:rStyle w:val="NormalTok"/>
        </w:rPr>
        <w:t xml:space="preserve"> </w:t>
      </w:r>
      <w:r>
        <w:rPr>
          <w:rStyle w:val="FunctionTok"/>
        </w:rPr>
        <w:t xml:space="preserve">mean</w:t>
      </w:r>
      <w:r>
        <w:rPr>
          <w:rStyle w:val="NormalTok"/>
        </w:rPr>
        <w:t xml:space="preserve">(Dis,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summarize_numeric</w:t>
      </w:r>
      <w:r>
        <w:rPr>
          <w:rStyle w:val="NormalTok"/>
        </w:rPr>
        <w:t xml:space="preserve">(</w:t>
      </w:r>
      <w:r>
        <w:rPr>
          <w:rStyle w:val="AttributeTok"/>
        </w:rPr>
        <w:t xml:space="preserve">remove =</w:t>
      </w:r>
      <w:r>
        <w:rPr>
          <w:rStyle w:val="NormalTok"/>
        </w:rPr>
        <w:t xml:space="preserve"> </w:t>
      </w:r>
      <w:r>
        <w:rPr>
          <w:rStyle w:val="FunctionTok"/>
        </w:rPr>
        <w:t xml:space="preserve">c</w:t>
      </w:r>
      <w:r>
        <w:rPr>
          <w:rStyle w:val="NormalTok"/>
        </w:rPr>
        <w:t xml:space="preserve">(</w:t>
      </w:r>
      <w:r>
        <w:rPr>
          <w:rStyle w:val="StringTok"/>
        </w:rPr>
        <w:t xml:space="preserve">"start"</w:t>
      </w:r>
      <w:r>
        <w:rPr>
          <w:rStyle w:val="NormalTok"/>
        </w:rPr>
        <w:t xml:space="preserve">, </w:t>
      </w:r>
      <w:r>
        <w:rPr>
          <w:rStyle w:val="StringTok"/>
        </w:rPr>
        <w:t xml:space="preserve">"end"</w:t>
      </w:r>
      <w:r>
        <w:rPr>
          <w:rStyle w:val="NormalTok"/>
        </w:rPr>
        <w:t xml:space="preserve">, </w:t>
      </w:r>
      <w:r>
        <w:rPr>
          <w:rStyle w:val="StringTok"/>
        </w:rPr>
        <w:t xml:space="preserve">"epoch"</w:t>
      </w:r>
      <w:r>
        <w:rPr>
          <w:rStyle w:val="NormalTok"/>
        </w:rPr>
        <w:t xml:space="preserve">),</w:t>
      </w:r>
      <w:r>
        <w:br/>
      </w:r>
      <w:r>
        <w:rPr>
          <w:rStyle w:val="NormalTok"/>
        </w:rPr>
        <w:t xml:space="preserve">                    </w:t>
      </w:r>
      <w:r>
        <w:rPr>
          <w:rStyle w:val="AttributeTok"/>
        </w:rPr>
        <w:t xml:space="preserve">prefix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add.total.duration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mean_daily</w:t>
      </w:r>
      <w:r>
        <w:rPr>
          <w:rStyle w:val="NormalTok"/>
        </w:rPr>
        <w:t xml:space="preserve">(</w:t>
      </w:r>
      <w:r>
        <w:rPr>
          <w:rStyle w:val="AttributeTok"/>
        </w:rPr>
        <w:t xml:space="preserve">prefix =</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gt</w:t>
      </w:r>
      <w:r>
        <w:rPr>
          <w:rStyle w:val="NormalTok"/>
        </w:rPr>
        <w:t xml:space="preserve">() </w:t>
      </w:r>
      <w:r>
        <w:rPr>
          <w:rStyle w:val="SpecialCharTok"/>
        </w:rPr>
        <w:t xml:space="preserve">|&gt;</w:t>
      </w:r>
      <w:r>
        <w:br/>
      </w:r>
      <w:r>
        <w:rPr>
          <w:rStyle w:val="NormalTok"/>
        </w:rPr>
        <w:t xml:space="preserve">  </w:t>
      </w:r>
      <w:r>
        <w:rPr>
          <w:rStyle w:val="FunctionTok"/>
        </w:rPr>
        <w:t xml:space="preserve">fmt_number</w:t>
      </w:r>
      <w:r>
        <w:rPr>
          <w:rStyle w:val="NormalTok"/>
        </w:rPr>
        <w:t xml:space="preserve">(</w:t>
      </w:r>
      <w:r>
        <w:rPr>
          <w:rStyle w:val="FunctionTok"/>
        </w:rPr>
        <w:t xml:space="preserve">c</w:t>
      </w:r>
      <w:r>
        <w:rPr>
          <w:rStyle w:val="NormalTok"/>
        </w:rPr>
        <w:t xml:space="preserve">(distance, episodes), </w:t>
      </w:r>
      <w:r>
        <w:rPr>
          <w:rStyle w:val="AttributeTok"/>
        </w:rPr>
        <w:t xml:space="preserve">decimals =</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cols_units</w:t>
      </w:r>
      <w:r>
        <w:rPr>
          <w:rStyle w:val="NormalTok"/>
        </w:rPr>
        <w:t xml:space="preserve">(</w:t>
      </w:r>
      <w:r>
        <w:rPr>
          <w:rStyle w:val="AttributeTok"/>
        </w:rPr>
        <w:t xml:space="preserve">distance =</w:t>
      </w:r>
      <w:r>
        <w:rPr>
          <w:rStyle w:val="NormalTok"/>
        </w:rPr>
        <w:t xml:space="preserve"> </w:t>
      </w:r>
      <w:r>
        <w:rPr>
          <w:rStyle w:val="StringTok"/>
        </w:rPr>
        <w:t xml:space="preserve">"cm"</w:t>
      </w:r>
      <w:r>
        <w:rPr>
          <w:rStyle w:val="NormalTok"/>
        </w:rPr>
        <w:t xml:space="preserve">)</w:t>
      </w:r>
    </w:p>
    <w:bookmarkEnd w:id="75"/>
    <w:p>
      <w:pPr>
        <w:pStyle w:val="DefinitionTerm"/>
      </w:pPr>
      <w:r>
        <w:t xml:space="preserve">Line 4</w:t>
      </w:r>
    </w:p>
    <w:p>
      <w:pPr>
        <w:pStyle w:val="Definition"/>
      </w:pPr>
      <w:r>
        <w:t xml:space="preserve">Minimal duration to count as an episode (set to interval level of</w:t>
      </w:r>
      <w:r>
        <w:t xml:space="preserve"> </w:t>
      </w:r>
      <w:r>
        <w:rPr>
          <w:rStyle w:val="VerbatimChar"/>
        </w:rPr>
        <w:t xml:space="preserve">dataCC</w:t>
      </w:r>
      <w:r>
        <w:t xml:space="preserve">)</w:t>
      </w:r>
    </w:p>
    <w:p>
      <w:pPr>
        <w:pStyle w:val="DefinitionTerm"/>
      </w:pPr>
      <w:r>
        <w:t xml:space="preserve">Line 8</w:t>
      </w:r>
    </w:p>
    <w:p>
      <w:pPr>
        <w:pStyle w:val="Definition"/>
      </w:pPr>
      <w:r>
        <w:t xml:space="preserve">Calculate mean distance during each episode</w:t>
      </w:r>
    </w:p>
    <w:p>
      <w:pPr>
        <w:pStyle w:val="DefinitionTerm"/>
      </w:pPr>
      <w:r>
        <w:t xml:space="preserve">Lines 9-11</w:t>
      </w:r>
    </w:p>
    <w:p>
      <w:pPr>
        <w:pStyle w:val="Definition"/>
      </w:pPr>
      <w:r>
        <w:t xml:space="preserve">Calculate averages for all numeric columns per group</w:t>
      </w:r>
    </w:p>
    <w:p>
      <w:pPr>
        <w:pStyle w:val="DefinitionTerm"/>
      </w:pPr>
      <w:r>
        <w:t xml:space="preserve">Line 12</w:t>
      </w:r>
    </w:p>
    <w:p>
      <w:pPr>
        <w:pStyle w:val="Definition"/>
      </w:pPr>
      <w:r>
        <w:t xml:space="preserve">Daily averages for each metric</w:t>
      </w:r>
    </w:p>
    <w:p>
      <w:pPr>
        <w:pStyle w:val="DefinitionTerm"/>
      </w:pPr>
      <w:r>
        <w:t xml:space="preserve">Lines 13-15</w:t>
      </w:r>
    </w:p>
    <w:p>
      <w:pPr>
        <w:pStyle w:val="Definition"/>
      </w:pPr>
      <w:r>
        <w:t xml:space="preserve">Table generation</w:t>
      </w:r>
    </w:p>
    <w:tbl>
      <w:tblPr>
        <w:tblStyle w:val="Table"/>
        <w:tblW w:type="pct" w:w="5000"/>
        <w:tblLayout w:type="fixed"/>
        <w:tblLook w:firstRow="0" w:lastRow="0" w:firstColumn="0" w:lastColumn="0" w:noHBand="0" w:noVBand="0" w:val="0000"/>
      </w:tblPr>
      <w:tblGrid>
        <w:gridCol w:w="7920"/>
      </w:tblGrid>
      <w:tr>
        <w:tc>
          <w:tcPr/>
          <w:bookmarkStart w:id="76" w:name="tbl-nearworkepisodes"/>
          <w:p>
            <w:pPr>
              <w:jc w:val="center"/>
            </w:pPr>
            <w:pPr>
              <w:jc w:val="left"/>
              <w:spacing w:before="200"/>
              <w:pStyle w:val="ImageCaption"/>
            </w:pPr>
            <w:r>
              <w:t xml:space="preserve">Table 7: Near-work episodes: frequency, mean duration, and mean viewing distance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Date</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duration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distance, cm</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episodes</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4"/>
                </w:tcPr>
                <w:p>
                  <w:pPr>
                    <w:spacing w:before="0" w:after="60"/>
                    <w:keepNext/>
                  </w:pPr>
                  <w:r>
                    <w:rPr>
                      <w:rFonts w:ascii="Calibri" w:hAnsi="Calibri"/>
                      <w:sz w:val="20"/>
                    </w:rPr>
                    <w:t xml:space="default">Clouclip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daily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233s (~3.88 minutes)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284s (~4.73 minutes)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Weekend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104s (~1.73 minutes)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w:t>
                  </w:r>
                </w:p>
              </w:tc>
            </w:tr>
          </w:tbl>
          <w:bookmarkEnd w:id="76"/>
        </w:tc>
      </w:tr>
    </w:tbl>
    <w:p>
      <w:pPr>
        <w:pStyle w:val="BlockText"/>
      </w:pPr>
      <w:r>
        <w:t xml:space="preserve">In the code cell above,</w:t>
      </w:r>
      <w:r>
        <w:t xml:space="preserve"> </w:t>
      </w:r>
      <w:r>
        <w:rPr>
          <w:rStyle w:val="VerbatimChar"/>
        </w:rPr>
        <w:t xml:space="preserve">extract_metric(..., distance = mean(Dis, ...))</w:t>
      </w:r>
      <w:r>
        <w:t xml:space="preserve"> </w:t>
      </w:r>
      <w:r>
        <w:t xml:space="preserve">computes the mean viewing distance during each episode, and the subsequent</w:t>
      </w:r>
      <w:r>
        <w:t xml:space="preserve"> </w:t>
      </w:r>
      <w:r>
        <w:rPr>
          <w:rStyle w:val="VerbatimChar"/>
        </w:rPr>
        <w:t xml:space="preserve">summarize_numeric</w:t>
      </w:r>
      <w:r>
        <w:t xml:space="preserve"> </w:t>
      </w:r>
      <w:r>
        <w:t xml:space="preserve">and</w:t>
      </w:r>
      <w:r>
        <w:t xml:space="preserve"> </w:t>
      </w:r>
      <w:r>
        <w:rPr>
          <w:rStyle w:val="VerbatimChar"/>
        </w:rPr>
        <w:t xml:space="preserve">mean_daily</w:t>
      </w:r>
      <w:r>
        <w:t xml:space="preserve"> </w:t>
      </w:r>
      <w:r>
        <w:t xml:space="preserve">steps derive daily averages of episode count, duration, and distance.</w:t>
      </w:r>
    </w:p>
    <w:bookmarkEnd w:id="77"/>
    <w:bookmarkStart w:id="85" w:name="visual-breaks"/>
    <w:p>
      <w:pPr>
        <w:pStyle w:val="Heading4"/>
      </w:pPr>
      <w:r>
        <w:t xml:space="preserve">Visual breaks</w:t>
      </w:r>
    </w:p>
    <w:p>
      <w:pPr>
        <w:pStyle w:val="FirstParagraph"/>
      </w:pPr>
      <w:r>
        <w:rPr>
          <w:rStyle w:val="VerbatimChar"/>
        </w:rPr>
        <w:t xml:space="preserve">Visual breaks</w:t>
      </w:r>
      <w:r>
        <w:t xml:space="preserve"> </w:t>
      </w:r>
      <w:r>
        <w:t xml:space="preserve">as defined in this article, require a minimum break-length, and the previous episode is important. This leads to a two step process, where we first extract instances of</w:t>
      </w:r>
      <w:r>
        <w:t xml:space="preserve"> </w:t>
      </w:r>
      <w:r>
        <w:rPr>
          <w:rStyle w:val="VerbatimChar"/>
        </w:rPr>
        <w:t xml:space="preserve">Distance</w:t>
      </w:r>
      <w:r>
        <w:t xml:space="preserve"> </w:t>
      </w:r>
      <w:r>
        <w:t xml:space="preserve">above 100 cm for at least 20 seconds, before we filter for a previous duration of at maximum 20 minutes.</w:t>
      </w:r>
      <w:r>
        <w:t xml:space="preserve"> </w:t>
      </w:r>
      <w:hyperlink w:anchor="tbl-visualbreaks">
        <w:r>
          <w:rPr>
            <w:rStyle w:val="Hyperlink"/>
          </w:rPr>
          <w:t xml:space="preserve">Table 8</w:t>
        </w:r>
      </w:hyperlink>
      <w:r>
        <w:t xml:space="preserve"> </w:t>
      </w:r>
      <w:r>
        <w:t xml:space="preserve">provides the daily frequency of visual breaks.</w:t>
      </w:r>
    </w:p>
    <w:bookmarkStart w:id="78" w:name="annotated-cell-8"/>
    <w:p>
      <w:pPr>
        <w:pStyle w:val="SourceCode"/>
      </w:pPr>
      <w:r>
        <w:rPr>
          <w:rStyle w:val="NormalTok"/>
        </w:rPr>
        <w:t xml:space="preserve">dataCC </w:t>
      </w:r>
      <w:r>
        <w:rPr>
          <w:rStyle w:val="SpecialCharTok"/>
        </w:rPr>
        <w:t xml:space="preserve">|&gt;</w:t>
      </w:r>
      <w:r>
        <w:rPr>
          <w:rStyle w:val="NormalTok"/>
        </w:rPr>
        <w:t xml:space="preserve"> </w:t>
      </w:r>
      <w:r>
        <w:br/>
      </w:r>
      <w:r>
        <w:rPr>
          <w:rStyle w:val="NormalTok"/>
        </w:rPr>
        <w:t xml:space="preserve">  </w:t>
      </w:r>
      <w:r>
        <w:rPr>
          <w:rStyle w:val="FunctionTok"/>
        </w:rPr>
        <w:t xml:space="preserve">extract_clusters</w:t>
      </w:r>
      <w:r>
        <w:rPr>
          <w:rStyle w:val="NormalTok"/>
        </w:rPr>
        <w:t xml:space="preserve">(Dis </w:t>
      </w:r>
      <w:r>
        <w:rPr>
          <w:rStyle w:val="SpecialCharTok"/>
        </w:rPr>
        <w:t xml:space="preserve">&gt;=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cluster.duration =</w:t>
      </w:r>
      <w:r>
        <w:rPr>
          <w:rStyle w:val="NormalTok"/>
        </w:rPr>
        <w:t xml:space="preserve"> </w:t>
      </w:r>
      <w:r>
        <w:rPr>
          <w:rStyle w:val="StringTok"/>
        </w:rPr>
        <w:t xml:space="preserve">"20 secs"</w:t>
      </w:r>
      <w:r>
        <w:rPr>
          <w:rStyle w:val="NormalTok"/>
        </w:rPr>
        <w:t xml:space="preserve">,</w:t>
      </w:r>
      <w:r>
        <w:br/>
      </w:r>
      <w:r>
        <w:rPr>
          <w:rStyle w:val="NormalTok"/>
        </w:rPr>
        <w:t xml:space="preserve">                   </w:t>
      </w:r>
      <w:r>
        <w:rPr>
          <w:rStyle w:val="AttributeTok"/>
        </w:rPr>
        <w:t xml:space="preserve">return.only.clusters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drop.empty.groups =</w:t>
      </w:r>
      <w:r>
        <w:rPr>
          <w:rStyle w:val="NormalTok"/>
        </w:rPr>
        <w:t xml:space="preserve"> </w:t>
      </w:r>
      <w:r>
        <w:rPr>
          <w:rStyle w:val="ConstantTok"/>
        </w:rPr>
        <w:t xml:space="preserve">FALSE</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((start </w:t>
      </w:r>
      <w:r>
        <w:rPr>
          <w:rStyle w:val="SpecialCharTok"/>
        </w:rPr>
        <w:t xml:space="preserve">-</w:t>
      </w:r>
      <w:r>
        <w:rPr>
          <w:rStyle w:val="NormalTok"/>
        </w:rPr>
        <w:t xml:space="preserve"> </w:t>
      </w:r>
      <w:r>
        <w:rPr>
          <w:rStyle w:val="FunctionTok"/>
        </w:rPr>
        <w:t xml:space="preserve">lag</w:t>
      </w:r>
      <w:r>
        <w:rPr>
          <w:rStyle w:val="NormalTok"/>
        </w:rPr>
        <w:t xml:space="preserve">(end) </w:t>
      </w:r>
      <w:r>
        <w:rPr>
          <w:rStyle w:val="SpecialCharTok"/>
        </w:rPr>
        <w:t xml:space="preserve">&lt;=</w:t>
      </w:r>
      <w:r>
        <w:rPr>
          <w:rStyle w:val="NormalTok"/>
        </w:rPr>
        <w:t xml:space="preserve"> </w:t>
      </w:r>
      <w:r>
        <w:rPr>
          <w:rStyle w:val="FunctionTok"/>
        </w:rPr>
        <w:t xml:space="preserve">duration</w:t>
      </w:r>
      <w:r>
        <w:rPr>
          <w:rStyle w:val="NormalTok"/>
        </w:rPr>
        <w:t xml:space="preserve">(</w:t>
      </w:r>
      <w:r>
        <w:rPr>
          <w:rStyle w:val="StringTok"/>
        </w:rPr>
        <w:t xml:space="preserve">"20 mins"</w:t>
      </w:r>
      <w:r>
        <w:rPr>
          <w:rStyle w:val="NormalTok"/>
        </w:rPr>
        <w:t xml:space="preserve">)), is.cluster) </w:t>
      </w:r>
      <w:r>
        <w:rPr>
          <w:rStyle w:val="SpecialCharTok"/>
        </w:rPr>
        <w:t xml:space="preserve">|&gt;</w:t>
      </w:r>
      <w:r>
        <w:br/>
      </w:r>
      <w:r>
        <w:rPr>
          <w:rStyle w:val="NormalTok"/>
        </w:rPr>
        <w:t xml:space="preserve">  </w:t>
      </w:r>
      <w:r>
        <w:rPr>
          <w:rStyle w:val="FunctionTok"/>
        </w:rPr>
        <w:t xml:space="preserve">summarize_numeric</w:t>
      </w:r>
      <w:r>
        <w:rPr>
          <w:rStyle w:val="NormalTok"/>
        </w:rPr>
        <w:t xml:space="preserve">(</w:t>
      </w:r>
      <w:r>
        <w:rPr>
          <w:rStyle w:val="AttributeTok"/>
        </w:rPr>
        <w:t xml:space="preserve">remove =</w:t>
      </w:r>
      <w:r>
        <w:rPr>
          <w:rStyle w:val="NormalTok"/>
        </w:rPr>
        <w:t xml:space="preserve"> </w:t>
      </w:r>
      <w:r>
        <w:rPr>
          <w:rStyle w:val="FunctionTok"/>
        </w:rPr>
        <w:t xml:space="preserve">c</w:t>
      </w:r>
      <w:r>
        <w:rPr>
          <w:rStyle w:val="NormalTok"/>
        </w:rPr>
        <w:t xml:space="preserve">(</w:t>
      </w:r>
      <w:r>
        <w:rPr>
          <w:rStyle w:val="StringTok"/>
        </w:rPr>
        <w:t xml:space="preserve">"start"</w:t>
      </w:r>
      <w:r>
        <w:rPr>
          <w:rStyle w:val="NormalTok"/>
        </w:rPr>
        <w:t xml:space="preserve">, </w:t>
      </w:r>
      <w:r>
        <w:rPr>
          <w:rStyle w:val="StringTok"/>
        </w:rPr>
        <w:t xml:space="preserve">"end"</w:t>
      </w:r>
      <w:r>
        <w:rPr>
          <w:rStyle w:val="NormalTok"/>
        </w:rPr>
        <w:t xml:space="preserve">, </w:t>
      </w:r>
      <w:r>
        <w:rPr>
          <w:rStyle w:val="StringTok"/>
        </w:rPr>
        <w:t xml:space="preserve">"epoch"</w:t>
      </w:r>
      <w:r>
        <w:rPr>
          <w:rStyle w:val="NormalTok"/>
        </w:rPr>
        <w:t xml:space="preserve">, </w:t>
      </w:r>
      <w:r>
        <w:rPr>
          <w:rStyle w:val="StringTok"/>
        </w:rPr>
        <w:t xml:space="preserve">"is.cluster"</w:t>
      </w:r>
      <w:r>
        <w:rPr>
          <w:rStyle w:val="NormalTok"/>
        </w:rPr>
        <w:t xml:space="preserve">, </w:t>
      </w:r>
      <w:r>
        <w:rPr>
          <w:rStyle w:val="StringTok"/>
        </w:rPr>
        <w:t xml:space="preserve">"duration"</w:t>
      </w:r>
      <w:r>
        <w:rPr>
          <w:rStyle w:val="NormalTok"/>
        </w:rPr>
        <w:t xml:space="preserve">),</w:t>
      </w:r>
      <w:r>
        <w:br/>
      </w:r>
      <w:r>
        <w:rPr>
          <w:rStyle w:val="NormalTok"/>
        </w:rPr>
        <w:t xml:space="preserve">                    </w:t>
      </w:r>
      <w:r>
        <w:rPr>
          <w:rStyle w:val="AttributeTok"/>
        </w:rPr>
        <w:t xml:space="preserve">prefix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add.total.duration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mean_daily</w:t>
      </w:r>
      <w:r>
        <w:rPr>
          <w:rStyle w:val="NormalTok"/>
        </w:rPr>
        <w:t xml:space="preserve">(</w:t>
      </w:r>
      <w:r>
        <w:rPr>
          <w:rStyle w:val="AttributeTok"/>
        </w:rPr>
        <w:t xml:space="preserve">prefix =</w:t>
      </w:r>
      <w:r>
        <w:rPr>
          <w:rStyle w:val="NormalTok"/>
        </w:rPr>
        <w:t xml:space="preserve"> </w:t>
      </w:r>
      <w:r>
        <w:rPr>
          <w:rStyle w:val="StringTok"/>
        </w:rPr>
        <w:t xml:space="preserve">"Daily "</w:t>
      </w:r>
      <w:r>
        <w:rPr>
          <w:rStyle w:val="NormalTok"/>
        </w:rPr>
        <w:t xml:space="preserve">) </w:t>
      </w:r>
      <w:r>
        <w:rPr>
          <w:rStyle w:val="SpecialCharTok"/>
        </w:rPr>
        <w:t xml:space="preserve">|&gt;</w:t>
      </w:r>
      <w:r>
        <w:br/>
      </w:r>
      <w:r>
        <w:rPr>
          <w:rStyle w:val="NormalTok"/>
        </w:rPr>
        <w:t xml:space="preserve">  </w:t>
      </w:r>
      <w:r>
        <w:rPr>
          <w:rStyle w:val="FunctionTok"/>
        </w:rPr>
        <w:t xml:space="preserve">gt</w:t>
      </w:r>
      <w:r>
        <w:rPr>
          <w:rStyle w:val="NormalTok"/>
        </w:rPr>
        <w:t xml:space="preserve">() </w:t>
      </w:r>
      <w:r>
        <w:rPr>
          <w:rStyle w:val="SpecialCharTok"/>
        </w:rPr>
        <w:t xml:space="preserve">|&gt;</w:t>
      </w:r>
      <w:r>
        <w:br/>
      </w:r>
      <w:r>
        <w:rPr>
          <w:rStyle w:val="NormalTok"/>
        </w:rPr>
        <w:t xml:space="preserve">  </w:t>
      </w:r>
      <w:r>
        <w:rPr>
          <w:rStyle w:val="FunctionTok"/>
        </w:rPr>
        <w:t xml:space="preserve">fmt_number</w:t>
      </w:r>
      <w:r>
        <w:rPr>
          <w:rStyle w:val="NormalTok"/>
        </w:rPr>
        <w:t xml:space="preserve">(</w:t>
      </w:r>
      <w:r>
        <w:rPr>
          <w:rStyle w:val="AttributeTok"/>
        </w:rPr>
        <w:t xml:space="preserve">decimals =</w:t>
      </w:r>
      <w:r>
        <w:rPr>
          <w:rStyle w:val="NormalTok"/>
        </w:rPr>
        <w:t xml:space="preserve"> </w:t>
      </w:r>
      <w:r>
        <w:rPr>
          <w:rStyle w:val="DecValTok"/>
        </w:rPr>
        <w:t xml:space="preserve">1</w:t>
      </w:r>
      <w:r>
        <w:rPr>
          <w:rStyle w:val="NormalTok"/>
        </w:rPr>
        <w:t xml:space="preserve">)</w:t>
      </w:r>
    </w:p>
    <w:bookmarkEnd w:id="78"/>
    <w:p>
      <w:pPr>
        <w:pStyle w:val="DefinitionTerm"/>
      </w:pPr>
      <w:r>
        <w:t xml:space="preserve">Line 2</w:t>
      </w:r>
    </w:p>
    <w:p>
      <w:pPr>
        <w:pStyle w:val="Definition"/>
      </w:pPr>
      <w:r>
        <w:t xml:space="preserve">Define the condition, greater 100 cm away</w:t>
      </w:r>
    </w:p>
    <w:p>
      <w:pPr>
        <w:pStyle w:val="DefinitionTerm"/>
      </w:pPr>
      <w:r>
        <w:t xml:space="preserve">Line 3</w:t>
      </w:r>
    </w:p>
    <w:p>
      <w:pPr>
        <w:pStyle w:val="Definition"/>
      </w:pPr>
      <w:r>
        <w:t xml:space="preserve">Define the minimum duration</w:t>
      </w:r>
    </w:p>
    <w:p>
      <w:pPr>
        <w:pStyle w:val="DefinitionTerm"/>
      </w:pPr>
      <w:r>
        <w:t xml:space="preserve">Line 4</w:t>
      </w:r>
    </w:p>
    <w:p>
      <w:pPr>
        <w:pStyle w:val="Definition"/>
      </w:pPr>
      <w:r>
        <w:t xml:space="preserve">Return non-clusters as well</w:t>
      </w:r>
    </w:p>
    <w:p>
      <w:pPr>
        <w:pStyle w:val="DefinitionTerm"/>
      </w:pPr>
      <w:r>
        <w:t xml:space="preserve">Line 5</w:t>
      </w:r>
    </w:p>
    <w:p>
      <w:pPr>
        <w:pStyle w:val="Definition"/>
      </w:pPr>
      <w:r>
        <w:t xml:space="preserve">Keep all days, even without clusters</w:t>
      </w:r>
    </w:p>
    <w:p>
      <w:pPr>
        <w:pStyle w:val="DefinitionTerm"/>
      </w:pPr>
      <w:r>
        <w:t xml:space="preserve">Line 7</w:t>
      </w:r>
    </w:p>
    <w:p>
      <w:pPr>
        <w:pStyle w:val="Definition"/>
      </w:pPr>
      <w:r>
        <w:t xml:space="preserve">Return only clusters with previous episode lengths of maximum 20 minutes:</w:t>
      </w:r>
    </w:p>
    <w:p>
      <w:pPr>
        <w:pStyle w:val="DefinitionTerm"/>
      </w:pPr>
      <w:r>
        <w:t xml:space="preserve">Lines 8-10</w:t>
      </w:r>
    </w:p>
    <w:p>
      <w:pPr>
        <w:pStyle w:val="Definition"/>
      </w:pPr>
      <w:r>
        <w:t xml:space="preserve">Count the number of episodes</w:t>
      </w:r>
    </w:p>
    <w:p>
      <w:pPr>
        <w:pStyle w:val="DefinitionTerm"/>
      </w:pPr>
      <w:r>
        <w:t xml:space="preserve">Line 11</w:t>
      </w:r>
    </w:p>
    <w:p>
      <w:pPr>
        <w:pStyle w:val="Definition"/>
      </w:pPr>
      <w:r>
        <w:t xml:space="preserve">Calculate daily means</w:t>
      </w:r>
    </w:p>
    <w:p>
      <w:pPr>
        <w:pStyle w:val="DefinitionTerm"/>
      </w:pPr>
      <w:r>
        <w:t xml:space="preserve">Lines 12-13</w:t>
      </w:r>
    </w:p>
    <w:p>
      <w:pPr>
        <w:pStyle w:val="Definition"/>
      </w:pPr>
      <w:r>
        <w:t xml:space="preserve">Table generation</w:t>
      </w:r>
    </w:p>
    <w:tbl>
      <w:tblPr>
        <w:tblStyle w:val="Table"/>
        <w:tblW w:type="pct" w:w="5000"/>
        <w:tblLayout w:type="fixed"/>
        <w:tblLook w:firstRow="0" w:lastRow="0" w:firstColumn="0" w:lastColumn="0" w:noHBand="0" w:noVBand="0" w:val="0000"/>
      </w:tblPr>
      <w:tblGrid>
        <w:gridCol w:w="7920"/>
      </w:tblGrid>
      <w:tr>
        <w:tc>
          <w:tcPr/>
          <w:bookmarkStart w:id="79" w:name="tbl-visualbreaks"/>
          <w:p>
            <w:pPr>
              <w:jc w:val="center"/>
            </w:pPr>
            <w:pPr>
              <w:jc w:val="left"/>
              <w:spacing w:before="200"/>
              <w:pStyle w:val="ImageCaption"/>
            </w:pPr>
            <w:r>
              <w:t xml:space="preserve">Table 8: Frequency of visual breaks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Date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Daily episodes</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Clouclip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daily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Weekday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Weekend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r>
          </w:tbl>
          <w:bookmarkEnd w:id="79"/>
        </w:tc>
      </w:tr>
    </w:tbl>
    <w:bookmarkStart w:id="80" w:name="annotated-cell-9"/>
    <w:p>
      <w:pPr>
        <w:pStyle w:val="SourceCode"/>
      </w:pPr>
      <w:r>
        <w:rPr>
          <w:rStyle w:val="NormalTok"/>
        </w:rPr>
        <w:t xml:space="preserve">dataCC </w:t>
      </w:r>
      <w:r>
        <w:rPr>
          <w:rStyle w:val="SpecialCharTok"/>
        </w:rPr>
        <w:t xml:space="preserve">|&gt;</w:t>
      </w:r>
      <w:r>
        <w:br/>
      </w:r>
      <w:r>
        <w:rPr>
          <w:rStyle w:val="NormalTok"/>
        </w:rPr>
        <w:t xml:space="preserve">    </w:t>
      </w:r>
      <w:r>
        <w:rPr>
          <w:rStyle w:val="FunctionTok"/>
        </w:rPr>
        <w:t xml:space="preserve">extract_clusters</w:t>
      </w:r>
      <w:r>
        <w:rPr>
          <w:rStyle w:val="NormalTok"/>
        </w:rPr>
        <w:t xml:space="preserve">(Dis </w:t>
      </w:r>
      <w:r>
        <w:rPr>
          <w:rStyle w:val="SpecialCharTok"/>
        </w:rPr>
        <w:t xml:space="preserve">&gt;=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cluster.duration =</w:t>
      </w:r>
      <w:r>
        <w:rPr>
          <w:rStyle w:val="NormalTok"/>
        </w:rPr>
        <w:t xml:space="preserve"> </w:t>
      </w:r>
      <w:r>
        <w:rPr>
          <w:rStyle w:val="StringTok"/>
        </w:rPr>
        <w:t xml:space="preserve">"20 secs"</w:t>
      </w:r>
      <w:r>
        <w:rPr>
          <w:rStyle w:val="NormalTok"/>
        </w:rPr>
        <w:t xml:space="preserve">,</w:t>
      </w:r>
      <w:r>
        <w:br/>
      </w:r>
      <w:r>
        <w:rPr>
          <w:rStyle w:val="NormalTok"/>
        </w:rPr>
        <w:t xml:space="preserve">                   </w:t>
      </w:r>
      <w:r>
        <w:rPr>
          <w:rStyle w:val="AttributeTok"/>
        </w:rPr>
        <w:t xml:space="preserve">return.only.clusters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drop.empty.groups =</w:t>
      </w:r>
      <w:r>
        <w:rPr>
          <w:rStyle w:val="NormalTok"/>
        </w:rPr>
        <w:t xml:space="preserve"> </w:t>
      </w:r>
      <w:r>
        <w:rPr>
          <w:rStyle w:val="ConstantTok"/>
        </w:rPr>
        <w:t xml:space="preserve">FALSE</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((start </w:t>
      </w:r>
      <w:r>
        <w:rPr>
          <w:rStyle w:val="SpecialCharTok"/>
        </w:rPr>
        <w:t xml:space="preserve">-</w:t>
      </w:r>
      <w:r>
        <w:rPr>
          <w:rStyle w:val="NormalTok"/>
        </w:rPr>
        <w:t xml:space="preserve"> </w:t>
      </w:r>
      <w:r>
        <w:rPr>
          <w:rStyle w:val="FunctionTok"/>
        </w:rPr>
        <w:t xml:space="preserve">lag</w:t>
      </w:r>
      <w:r>
        <w:rPr>
          <w:rStyle w:val="NormalTok"/>
        </w:rPr>
        <w:t xml:space="preserve">(end) </w:t>
      </w:r>
      <w:r>
        <w:rPr>
          <w:rStyle w:val="SpecialCharTok"/>
        </w:rPr>
        <w:t xml:space="preserve">&lt;=</w:t>
      </w:r>
      <w:r>
        <w:rPr>
          <w:rStyle w:val="NormalTok"/>
        </w:rPr>
        <w:t xml:space="preserve"> </w:t>
      </w:r>
      <w:r>
        <w:rPr>
          <w:rStyle w:val="FunctionTok"/>
        </w:rPr>
        <w:t xml:space="preserve">duration</w:t>
      </w:r>
      <w:r>
        <w:rPr>
          <w:rStyle w:val="NormalTok"/>
        </w:rPr>
        <w:t xml:space="preserve">(</w:t>
      </w:r>
      <w:r>
        <w:rPr>
          <w:rStyle w:val="StringTok"/>
        </w:rPr>
        <w:t xml:space="preserve">"20 mins"</w:t>
      </w:r>
      <w:r>
        <w:rPr>
          <w:rStyle w:val="NormalTok"/>
        </w:rPr>
        <w:t xml:space="preserve">)), is.cluster) </w:t>
      </w:r>
      <w:r>
        <w:rPr>
          <w:rStyle w:val="SpecialCharTok"/>
        </w:rPr>
        <w:t xml:space="preserve">%&gt;%</w:t>
      </w:r>
      <w:r>
        <w:br/>
      </w:r>
      <w:r>
        <w:rPr>
          <w:rStyle w:val="NormalTok"/>
        </w:rPr>
        <w:t xml:space="preserve">  </w:t>
      </w:r>
      <w:r>
        <w:rPr>
          <w:rStyle w:val="FunctionTok"/>
        </w:rPr>
        <w:t xml:space="preserve">add_states</w:t>
      </w:r>
      <w:r>
        <w:rPr>
          <w:rStyle w:val="NormalTok"/>
        </w:rPr>
        <w:t xml:space="preserve">(dataCC, ., ) </w:t>
      </w:r>
      <w:r>
        <w:rPr>
          <w:rStyle w:val="SpecialCharTok"/>
        </w:rPr>
        <w:t xml:space="preserve">|&gt;</w:t>
      </w:r>
      <w:r>
        <w:br/>
      </w:r>
      <w:r>
        <w:rPr>
          <w:rStyle w:val="NormalTok"/>
        </w:rPr>
        <w:t xml:space="preserve">  </w:t>
      </w:r>
      <w:r>
        <w:rPr>
          <w:rStyle w:val="FunctionTok"/>
        </w:rPr>
        <w:t xml:space="preserve">gg_day</w:t>
      </w:r>
      <w:r>
        <w:rPr>
          <w:rStyle w:val="NormalTok"/>
        </w:rPr>
        <w:t xml:space="preserve">(</w:t>
      </w:r>
      <w:r>
        <w:rPr>
          <w:rStyle w:val="AttributeTok"/>
        </w:rPr>
        <w:t xml:space="preserve">y.axis =</w:t>
      </w:r>
      <w:r>
        <w:rPr>
          <w:rStyle w:val="NormalTok"/>
        </w:rPr>
        <w:t xml:space="preserve"> Dis, </w:t>
      </w:r>
      <w:r>
        <w:rPr>
          <w:rStyle w:val="AttributeTok"/>
        </w:rPr>
        <w:t xml:space="preserve">y.axis.label =</w:t>
      </w:r>
      <w:r>
        <w:rPr>
          <w:rStyle w:val="NormalTok"/>
        </w:rPr>
        <w:t xml:space="preserve"> </w:t>
      </w:r>
      <w:r>
        <w:rPr>
          <w:rStyle w:val="StringTok"/>
        </w:rPr>
        <w:t xml:space="preserve">"Distance (cm)"</w:t>
      </w:r>
      <w:r>
        <w:rPr>
          <w:rStyle w:val="NormalTok"/>
        </w:rPr>
        <w:t xml:space="preserve">, </w:t>
      </w:r>
      <w:r>
        <w:rPr>
          <w:rStyle w:val="AttributeTok"/>
        </w:rPr>
        <w:t xml:space="preserve">geom =</w:t>
      </w:r>
      <w:r>
        <w:rPr>
          <w:rStyle w:val="NormalTok"/>
        </w:rPr>
        <w:t xml:space="preserve"> </w:t>
      </w:r>
      <w:r>
        <w:rPr>
          <w:rStyle w:val="StringTok"/>
        </w:rPr>
        <w:t xml:space="preserve">"line"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gg_photoperiod</w:t>
      </w:r>
      <w:r>
        <w:rPr>
          <w:rStyle w:val="NormalTok"/>
        </w:rPr>
        <w:t xml:space="preserve">(coordinates)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\(x) </w:t>
      </w:r>
      <w:r>
        <w:rPr>
          <w:rStyle w:val="FunctionTok"/>
        </w:rPr>
        <w:t xml:space="preserve">filter</w:t>
      </w:r>
      <w:r>
        <w:rPr>
          <w:rStyle w:val="NormalTok"/>
        </w:rPr>
        <w:t xml:space="preserve">(x, is.cluster), </w:t>
      </w:r>
      <w:r>
        <w:rPr>
          <w:rStyle w:val="AttributeTok"/>
        </w:rPr>
        <w:t xml:space="preserve">col =</w:t>
      </w:r>
      <w:r>
        <w:rPr>
          <w:rStyle w:val="NormalTok"/>
        </w:rPr>
        <w:t xml:space="preserve"> </w:t>
      </w:r>
      <w:r>
        <w:rPr>
          <w:rStyle w:val="StringTok"/>
        </w:rPr>
        <w:t xml:space="preserve">"red"</w:t>
      </w:r>
      <w:r>
        <w:rPr>
          <w:rStyle w:val="NormalTok"/>
        </w:rPr>
        <w:t xml:space="preserve">)</w:t>
      </w:r>
    </w:p>
    <w:bookmarkEnd w:id="80"/>
    <w:p>
      <w:pPr>
        <w:pStyle w:val="DefinitionTerm"/>
      </w:pPr>
      <w:r>
        <w:t xml:space="preserve">Lines 1-7</w:t>
      </w:r>
    </w:p>
    <w:p>
      <w:pPr>
        <w:pStyle w:val="Definition"/>
      </w:pPr>
      <w:r>
        <w:t xml:space="preserve">As in the code cell above</w:t>
      </w:r>
    </w:p>
    <w:p>
      <w:pPr>
        <w:pStyle w:val="DefinitionTerm"/>
      </w:pPr>
      <w:r>
        <w:t xml:space="preserve">Line 8</w:t>
      </w:r>
    </w:p>
    <w:p>
      <w:pPr>
        <w:pStyle w:val="Definition"/>
      </w:pPr>
      <w:r>
        <w:t xml:space="preserve">Add the resulting states</w:t>
      </w:r>
    </w:p>
    <w:p>
      <w:pPr>
        <w:pStyle w:val="DefinitionTerm"/>
      </w:pPr>
      <w:r>
        <w:t xml:space="preserve">Line 10</w:t>
      </w:r>
    </w:p>
    <w:p>
      <w:pPr>
        <w:pStyle w:val="Definition"/>
      </w:pPr>
      <w:r>
        <w:t xml:space="preserve">Add photoperiod information to the plot</w:t>
      </w:r>
    </w:p>
    <w:tbl>
      <w:tblPr>
        <w:tblStyle w:val="Table"/>
        <w:tblW w:type="pct" w:w="5000"/>
        <w:tblLayout w:type="fixed"/>
        <w:tblLook w:firstRow="0" w:lastRow="0" w:firstColumn="0" w:lastColumn="0" w:noHBand="0" w:noVBand="0" w:val="0000"/>
      </w:tblPr>
      <w:tblGrid>
        <w:gridCol w:w="7920"/>
      </w:tblGrid>
      <w:tr>
        <w:tc>
          <w:tcPr/>
          <w:bookmarkStart w:id="84" w:name="fig-cluster"/>
          <w:p>
            <w:pPr>
              <w:pStyle w:val="Compact"/>
              <w:jc w:val="center"/>
            </w:pPr>
            <w:r>
              <w:drawing>
                <wp:inline>
                  <wp:extent cx="5334000" cy="8534400"/>
                  <wp:effectExtent b="0" l="0" r="0" t="0"/>
                  <wp:docPr descr="" title="" id="82" name="Picture"/>
                  <a:graphic>
                    <a:graphicData uri="http://schemas.openxmlformats.org/drawingml/2006/picture">
                      <pic:pic>
                        <pic:nvPicPr>
                          <pic:cNvPr descr="index_files/figure-docx/fig-cluster-1.png" id="83" name="Picture"/>
                          <pic:cNvPicPr>
                            <a:picLocks noChangeArrowheads="1" noChangeAspect="1"/>
                          </pic:cNvPicPr>
                        </pic:nvPicPr>
                        <pic:blipFill>
                          <a:blip r:embed="rId81"/>
                          <a:stretch>
                            <a:fillRect/>
                          </a:stretch>
                        </pic:blipFill>
                        <pic:spPr bwMode="auto">
                          <a:xfrm>
                            <a:off x="0" y="0"/>
                            <a:ext cx="5334000" cy="8534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Plot of visual breaks (red dots). Black traces show distance measurement data. Grey shaded areas show nighttime between civil dusk and civil dawn</w:t>
            </w:r>
          </w:p>
          <w:bookmarkEnd w:id="84"/>
        </w:tc>
      </w:tr>
    </w:tbl>
    <w:bookmarkEnd w:id="85"/>
    <w:bookmarkStart w:id="96" w:name="distance-with-spatial-distribution"/>
    <w:p>
      <w:pPr>
        <w:pStyle w:val="Heading4"/>
      </w:pPr>
      <w:r>
        <w:t xml:space="preserve">Distance with spatial distribution</w:t>
      </w:r>
    </w:p>
    <w:p>
      <w:pPr>
        <w:pStyle w:val="FirstParagraph"/>
      </w:pPr>
      <w:r>
        <w:t xml:space="preserve">The</w:t>
      </w:r>
      <w:r>
        <w:t xml:space="preserve"> </w:t>
      </w:r>
      <w:r>
        <w:rPr>
          <w:rStyle w:val="VerbatimChar"/>
        </w:rPr>
        <w:t xml:space="preserve">Clouclip</w:t>
      </w:r>
      <w:r>
        <w:t xml:space="preserve"> </w:t>
      </w:r>
      <w:r>
        <w:t xml:space="preserve">device outputs a singular measure for distance, while the visual environment in natural conditions contains many distances, depending on the solid angle and direction of the measurement. A device like the</w:t>
      </w:r>
      <w:r>
        <w:t xml:space="preserve"> </w:t>
      </w:r>
      <w:r>
        <w:rPr>
          <w:rStyle w:val="VerbatimChar"/>
        </w:rPr>
        <w:t xml:space="preserve">VEET</w:t>
      </w:r>
      <w:r>
        <w:t xml:space="preserve"> </w:t>
      </w:r>
      <w:r>
        <w:t xml:space="preserve">increases the spatial resolution of these measurements, allowing for more in-depth analyses of the size and position of an object within the field of view. In the case of the</w:t>
      </w:r>
      <w:r>
        <w:t xml:space="preserve"> </w:t>
      </w:r>
      <w:r>
        <w:rPr>
          <w:rStyle w:val="VerbatimChar"/>
        </w:rPr>
        <w:t xml:space="preserve">VEET</w:t>
      </w:r>
      <w:r>
        <w:t xml:space="preserve">, data are collected from an 8x8 measurement grid, spanning 52° vertically and 41° horizontally. Here are sample observations from six different days at the same time.</w:t>
      </w:r>
    </w:p>
    <w:bookmarkStart w:id="86" w:name="annotated-cell-11"/>
    <w:p>
      <w:pPr>
        <w:pStyle w:val="SourceCode"/>
      </w:pPr>
      <w:r>
        <w:rPr>
          <w:rStyle w:val="NormalTok"/>
        </w:rPr>
        <w:t xml:space="preserve">dataVEET3 </w:t>
      </w:r>
      <w:r>
        <w:rPr>
          <w:rStyle w:val="SpecialCharTok"/>
        </w:rPr>
        <w:t xml:space="preserve">|&gt;</w:t>
      </w:r>
      <w:r>
        <w:rPr>
          <w:rStyle w:val="NormalTok"/>
        </w:rPr>
        <w:t xml:space="preserve"> </w:t>
      </w:r>
      <w:r>
        <w:br/>
      </w:r>
      <w:r>
        <w:rPr>
          <w:rStyle w:val="NormalTok"/>
        </w:rPr>
        <w:t xml:space="preserve">  </w:t>
      </w:r>
      <w:r>
        <w:rPr>
          <w:rStyle w:val="FunctionTok"/>
        </w:rPr>
        <w:t xml:space="preserve">filter_Time</w:t>
      </w:r>
      <w:r>
        <w:rPr>
          <w:rStyle w:val="NormalTok"/>
        </w:rPr>
        <w:t xml:space="preserve">(</w:t>
      </w:r>
      <w:r>
        <w:rPr>
          <w:rStyle w:val="AttributeTok"/>
        </w:rPr>
        <w:t xml:space="preserve">start =</w:t>
      </w:r>
      <w:r>
        <w:rPr>
          <w:rStyle w:val="NormalTok"/>
        </w:rPr>
        <w:t xml:space="preserve"> </w:t>
      </w:r>
      <w:r>
        <w:rPr>
          <w:rStyle w:val="StringTok"/>
        </w:rPr>
        <w:t xml:space="preserve">"13:14:02"</w:t>
      </w:r>
      <w:r>
        <w:rPr>
          <w:rStyle w:val="NormalTok"/>
        </w:rPr>
        <w:t xml:space="preserve">, </w:t>
      </w:r>
      <w:r>
        <w:rPr>
          <w:rStyle w:val="AttributeTok"/>
        </w:rPr>
        <w:t xml:space="preserve">length =</w:t>
      </w:r>
      <w:r>
        <w:rPr>
          <w:rStyle w:val="NormalTok"/>
        </w:rPr>
        <w:t xml:space="preserve"> </w:t>
      </w:r>
      <w:r>
        <w:rPr>
          <w:rStyle w:val="StringTok"/>
        </w:rPr>
        <w:t xml:space="preserve">"00:00:05"</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dist1 =</w:t>
      </w:r>
      <w:r>
        <w:rPr>
          <w:rStyle w:val="NormalTok"/>
        </w:rPr>
        <w:t xml:space="preserve"> </w:t>
      </w:r>
      <w:r>
        <w:rPr>
          <w:rStyle w:val="FunctionTok"/>
        </w:rPr>
        <w:t xml:space="preserve">ifelse</w:t>
      </w:r>
      <w:r>
        <w:rPr>
          <w:rStyle w:val="NormalTok"/>
        </w:rPr>
        <w:t xml:space="preserve">(dist1 </w:t>
      </w:r>
      <w:r>
        <w:rPr>
          <w:rStyle w:val="SpecialCharTok"/>
        </w:rPr>
        <w:t xml:space="preserve">==</w:t>
      </w:r>
      <w:r>
        <w:rPr>
          <w:rStyle w:val="NormalTok"/>
        </w:rPr>
        <w:t xml:space="preserve"> </w:t>
      </w:r>
      <w:r>
        <w:rPr>
          <w:rStyle w:val="DecValTok"/>
        </w:rPr>
        <w:t xml:space="preserve">0</w:t>
      </w:r>
      <w:r>
        <w:rPr>
          <w:rStyle w:val="NormalTok"/>
        </w:rPr>
        <w:t xml:space="preserve">, </w:t>
      </w:r>
      <w:r>
        <w:rPr>
          <w:rStyle w:val="ConstantTok"/>
        </w:rPr>
        <w:t xml:space="preserve">Inf</w:t>
      </w:r>
      <w:r>
        <w:rPr>
          <w:rStyle w:val="NormalTok"/>
        </w:rPr>
        <w:t xml:space="preserve">, dist1)) </w:t>
      </w:r>
      <w:r>
        <w:rPr>
          <w:rStyle w:val="SpecialCharTok"/>
        </w:rPr>
        <w:t xml:space="preserve">|&gt;</w:t>
      </w:r>
      <w:r>
        <w:br/>
      </w:r>
      <w:r>
        <w:rPr>
          <w:rStyle w:val="NormalTok"/>
        </w:rPr>
        <w:t xml:space="preserve">  </w:t>
      </w:r>
      <w:r>
        <w:rPr>
          <w:rStyle w:val="FunctionTok"/>
        </w:rPr>
        <w:t xml:space="preserve">filter</w:t>
      </w:r>
      <w:r>
        <w:rPr>
          <w:rStyle w:val="NormalTok"/>
        </w:rPr>
        <w:t xml:space="preserve">(conf1 </w:t>
      </w:r>
      <w:r>
        <w:rPr>
          <w:rStyle w:val="SpecialCharTok"/>
        </w:rPr>
        <w:t xml:space="preserve">&gt;=</w:t>
      </w:r>
      <w:r>
        <w:rPr>
          <w:rStyle w:val="NormalTok"/>
        </w:rPr>
        <w:t xml:space="preserve"> </w:t>
      </w:r>
      <w:r>
        <w:rPr>
          <w:rStyle w:val="FloatTok"/>
        </w:rPr>
        <w:t xml:space="preserve">0.1</w:t>
      </w:r>
      <w:r>
        <w:rPr>
          <w:rStyle w:val="NormalTok"/>
        </w:rPr>
        <w:t xml:space="preserve"> </w:t>
      </w:r>
      <w:r>
        <w:rPr>
          <w:rStyle w:val="SpecialCharTok"/>
        </w:rPr>
        <w:t xml:space="preserve">|</w:t>
      </w:r>
      <w:r>
        <w:rPr>
          <w:rStyle w:val="NormalTok"/>
        </w:rPr>
        <w:t xml:space="preserve"> dist1 </w:t>
      </w:r>
      <w:r>
        <w:rPr>
          <w:rStyle w:val="SpecialCharTok"/>
        </w:rPr>
        <w:t xml:space="preserve">==</w:t>
      </w:r>
      <w:r>
        <w:rPr>
          <w:rStyle w:val="NormalTok"/>
        </w:rPr>
        <w:t xml:space="preserve"> </w:t>
      </w:r>
      <w:r>
        <w:rPr>
          <w:rStyle w:val="ConstantTok"/>
        </w:rPr>
        <w:t xml:space="preserve">Inf</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x.pos, </w:t>
      </w:r>
      <w:r>
        <w:rPr>
          <w:rStyle w:val="AttributeTok"/>
        </w:rPr>
        <w:t xml:space="preserve">y=</w:t>
      </w:r>
      <w:r>
        <w:rPr>
          <w:rStyle w:val="NormalTok"/>
        </w:rPr>
        <w:t xml:space="preserve">y.pos, </w:t>
      </w:r>
      <w:r>
        <w:rPr>
          <w:rStyle w:val="AttributeTok"/>
        </w:rPr>
        <w:t xml:space="preserve">fill =</w:t>
      </w:r>
      <w:r>
        <w:rPr>
          <w:rStyle w:val="NormalTok"/>
        </w:rPr>
        <w:t xml:space="preserve"> dist1</w:t>
      </w:r>
      <w:r>
        <w:rPr>
          <w:rStyle w:val="SpecialCharTok"/>
        </w:rPr>
        <w:t xml:space="preserve">/</w:t>
      </w:r>
      <w:r>
        <w:rPr>
          <w:rStyle w:val="DecValTok"/>
        </w:rPr>
        <w:t xml:space="preserve">10</w:t>
      </w:r>
      <w:r>
        <w:rPr>
          <w:rStyle w:val="NormalTok"/>
        </w:rPr>
        <w:t xml:space="preserve">))</w:t>
      </w:r>
      <w:r>
        <w:rPr>
          <w:rStyle w:val="SpecialCharTok"/>
        </w:rPr>
        <w:t xml:space="preserve">+</w:t>
      </w:r>
      <w:r>
        <w:br/>
      </w:r>
      <w:r>
        <w:rPr>
          <w:rStyle w:val="NormalTok"/>
        </w:rPr>
        <w:t xml:space="preserve">  extras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Datetime)</w:t>
      </w:r>
    </w:p>
    <w:bookmarkEnd w:id="86"/>
    <w:p>
      <w:pPr>
        <w:pStyle w:val="DefinitionTerm"/>
      </w:pPr>
      <w:r>
        <w:t xml:space="preserve">Line 2</w:t>
      </w:r>
    </w:p>
    <w:p>
      <w:pPr>
        <w:pStyle w:val="Definition"/>
      </w:pPr>
      <w:r>
        <w:t xml:space="preserve">Choose a particular observation</w:t>
      </w:r>
    </w:p>
    <w:p>
      <w:pPr>
        <w:pStyle w:val="DefinitionTerm"/>
      </w:pPr>
      <w:r>
        <w:t xml:space="preserve">Line 3</w:t>
      </w:r>
    </w:p>
    <w:p>
      <w:pPr>
        <w:pStyle w:val="Definition"/>
      </w:pPr>
      <w:r>
        <w:t xml:space="preserve">Replace 0 distances with infinity</w:t>
      </w:r>
    </w:p>
    <w:p>
      <w:pPr>
        <w:pStyle w:val="DefinitionTerm"/>
      </w:pPr>
      <w:r>
        <w:t xml:space="preserve">Line 4</w:t>
      </w:r>
    </w:p>
    <w:p>
      <w:pPr>
        <w:pStyle w:val="Definition"/>
      </w:pPr>
      <w:r>
        <w:t xml:space="preserve">Remove data that has less than 10% confidence</w:t>
      </w:r>
    </w:p>
    <w:p>
      <w:pPr>
        <w:pStyle w:val="DefinitionTerm"/>
      </w:pPr>
      <w:r>
        <w:t xml:space="preserve">Line 5</w:t>
      </w:r>
    </w:p>
    <w:p>
      <w:pPr>
        <w:pStyle w:val="Definition"/>
      </w:pPr>
      <w:r>
        <w:t xml:space="preserve">Plot the data and add the plot partials from the code cell above</w:t>
      </w:r>
    </w:p>
    <w:p>
      <w:pPr>
        <w:pStyle w:val="DefinitionTerm"/>
      </w:pPr>
      <w:r>
        <w:t xml:space="preserve">Lines 6-7</w:t>
      </w:r>
    </w:p>
    <w:p>
      <w:pPr>
        <w:pStyle w:val="Definition"/>
      </w:pPr>
      <w:r>
        <w:t xml:space="preserve">Show one plot per day</w:t>
      </w:r>
    </w:p>
    <w:tbl>
      <w:tblPr>
        <w:tblStyle w:val="Table"/>
        <w:tblW w:type="pct" w:w="5000"/>
        <w:tblLayout w:type="fixed"/>
        <w:tblLook w:firstRow="0" w:lastRow="0" w:firstColumn="0" w:lastColumn="0" w:noHBand="0" w:noVBand="0" w:val="0000"/>
      </w:tblPr>
      <w:tblGrid>
        <w:gridCol w:w="7920"/>
      </w:tblGrid>
      <w:tr>
        <w:tc>
          <w:tcPr/>
          <w:bookmarkStart w:id="90" w:name="fig-VEET-distance"/>
          <w:p>
            <w:pPr>
              <w:pStyle w:val="Compact"/>
              <w:jc w:val="center"/>
            </w:pPr>
            <w:r>
              <w:drawing>
                <wp:inline>
                  <wp:extent cx="5334000" cy="2222500"/>
                  <wp:effectExtent b="0" l="0" r="0" t="0"/>
                  <wp:docPr descr="" title="" id="88" name="Picture"/>
                  <a:graphic>
                    <a:graphicData uri="http://schemas.openxmlformats.org/drawingml/2006/picture">
                      <pic:pic>
                        <pic:nvPicPr>
                          <pic:cNvPr descr="index_files/figure-docx/fig-VEET-distance-1.png" id="89" name="Picture"/>
                          <pic:cNvPicPr>
                            <a:picLocks noChangeArrowheads="1" noChangeAspect="1"/>
                          </pic:cNvPicPr>
                        </pic:nvPicPr>
                        <pic:blipFill>
                          <a:blip r:embed="rId87"/>
                          <a:stretch>
                            <a:fillRect/>
                          </a:stretch>
                        </pic:blipFill>
                        <pic:spPr bwMode="auto">
                          <a:xfrm>
                            <a:off x="0" y="0"/>
                            <a:ext cx="5334000" cy="2222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Example observations of the measurement grid at 1:14 p.m. for each measurement day. Text values show distance in cm. Empty grid points show values with low confidence. Zero-distance values were replaced with infinite distance and plotted despite low confidence.</w:t>
            </w:r>
          </w:p>
          <w:bookmarkEnd w:id="90"/>
        </w:tc>
      </w:tr>
    </w:tbl>
    <w:p>
      <w:pPr>
        <w:pStyle w:val="BodyText"/>
      </w:pPr>
      <w:r>
        <w:t xml:space="preserve">To use these distance data in the framework shown above for the</w:t>
      </w:r>
      <w:r>
        <w:t xml:space="preserve"> </w:t>
      </w:r>
      <w:r>
        <w:rPr>
          <w:rStyle w:val="VerbatimChar"/>
        </w:rPr>
        <w:t xml:space="preserve">Clouclip</w:t>
      </w:r>
      <w:r>
        <w:t xml:space="preserve"> </w:t>
      </w:r>
      <w:r>
        <w:t xml:space="preserve">device, a sensible method to condense the data has to be applied. There are many ways how a spatially resolved distance measure could be utilized for analysis:</w:t>
      </w:r>
    </w:p>
    <w:p>
      <w:pPr>
        <w:pStyle w:val="Compact"/>
        <w:numPr>
          <w:ilvl w:val="0"/>
          <w:numId w:val="1006"/>
        </w:numPr>
      </w:pPr>
      <w:r>
        <w:t xml:space="preserve">Where in the field of view are objects in close range?</w:t>
      </w:r>
    </w:p>
    <w:p>
      <w:pPr>
        <w:pStyle w:val="Compact"/>
        <w:numPr>
          <w:ilvl w:val="0"/>
          <w:numId w:val="1006"/>
        </w:numPr>
      </w:pPr>
      <w:r>
        <w:t xml:space="preserve">How large are near objects in the field of view?</w:t>
      </w:r>
    </w:p>
    <w:p>
      <w:pPr>
        <w:pStyle w:val="Compact"/>
        <w:numPr>
          <w:ilvl w:val="0"/>
          <w:numId w:val="1006"/>
        </w:numPr>
      </w:pPr>
      <w:r>
        <w:t xml:space="preserve">How varied are distances within the field of view?</w:t>
      </w:r>
    </w:p>
    <w:p>
      <w:pPr>
        <w:pStyle w:val="Compact"/>
        <w:numPr>
          <w:ilvl w:val="0"/>
          <w:numId w:val="1006"/>
        </w:numPr>
      </w:pPr>
      <w:r>
        <w:t xml:space="preserve">How close are objects / is viewing distance in a region of interest within the field of view?</w:t>
      </w:r>
    </w:p>
    <w:p>
      <w:pPr>
        <w:pStyle w:val="FirstParagraph"/>
      </w:pPr>
      <w:r>
        <w:t xml:space="preserve">Possible methods include:</w:t>
      </w:r>
    </w:p>
    <w:p>
      <w:pPr>
        <w:pStyle w:val="Compact"/>
        <w:numPr>
          <w:ilvl w:val="0"/>
          <w:numId w:val="1007"/>
        </w:numPr>
      </w:pPr>
      <w:r>
        <w:t xml:space="preserve">average across all (high confidence) distance values within the grid</w:t>
      </w:r>
    </w:p>
    <w:p>
      <w:pPr>
        <w:pStyle w:val="Compact"/>
        <w:numPr>
          <w:ilvl w:val="0"/>
          <w:numId w:val="1007"/>
        </w:numPr>
      </w:pPr>
      <w:r>
        <w:t xml:space="preserve">closest (high confidence) distance within the grid</w:t>
      </w:r>
    </w:p>
    <w:p>
      <w:pPr>
        <w:pStyle w:val="Compact"/>
        <w:numPr>
          <w:ilvl w:val="0"/>
          <w:numId w:val="1007"/>
        </w:numPr>
      </w:pPr>
      <w:r>
        <w:t xml:space="preserve">(high confidence) values at or around a given grid position, e.g., ±10 degrees around the central view (0°)</w:t>
      </w:r>
    </w:p>
    <w:p>
      <w:pPr>
        <w:pStyle w:val="FirstParagraph"/>
      </w:pPr>
      <w:r>
        <w:t xml:space="preserve">Many more options are available based on the spatial dataset, e.g., condensation rules based on the number of points in the grid with a given condition, or the variation within the grid.</w:t>
      </w:r>
    </w:p>
    <w:p>
      <w:pPr>
        <w:pStyle w:val="BodyText"/>
      </w:pPr>
      <w:r>
        <w:t xml:space="preserve">We will demonstrate these three methods for a single day (</w:t>
      </w:r>
      <w:r>
        <w:rPr>
          <w:rStyle w:val="VerbatimChar"/>
        </w:rPr>
        <w:t xml:space="preserve">2024-06-10</w:t>
      </w:r>
      <w:r>
        <w:t xml:space="preserve">), all leading to a data structure akin to the</w:t>
      </w:r>
      <w:r>
        <w:t xml:space="preserve"> </w:t>
      </w:r>
      <w:r>
        <w:rPr>
          <w:rStyle w:val="VerbatimChar"/>
        </w:rPr>
        <w:t xml:space="preserve">Clouclip</w:t>
      </w:r>
      <w:r>
        <w:t xml:space="preserve">, i.e., to be used for further calculation of visual experience metrics.</w:t>
      </w:r>
    </w:p>
    <w:bookmarkStart w:id="91" w:name="annotated-cell-12"/>
    <w:p>
      <w:pPr>
        <w:pStyle w:val="SourceCode"/>
      </w:pPr>
      <w:r>
        <w:rPr>
          <w:rStyle w:val="NormalTok"/>
        </w:rPr>
        <w:t xml:space="preserve">dataVEET3_part </w:t>
      </w:r>
      <w:r>
        <w:rPr>
          <w:rStyle w:val="OtherTok"/>
        </w:rPr>
        <w:t xml:space="preserve">&lt;-</w:t>
      </w:r>
      <w:r>
        <w:br/>
      </w:r>
      <w:r>
        <w:rPr>
          <w:rStyle w:val="NormalTok"/>
        </w:rPr>
        <w:t xml:space="preserve">dataVEET3 </w:t>
      </w:r>
      <w:r>
        <w:rPr>
          <w:rStyle w:val="SpecialCharTok"/>
        </w:rPr>
        <w:t xml:space="preserve">|&gt;</w:t>
      </w:r>
      <w:r>
        <w:br/>
      </w:r>
      <w:r>
        <w:rPr>
          <w:rStyle w:val="NormalTok"/>
        </w:rPr>
        <w:t xml:space="preserve">  </w:t>
      </w:r>
      <w:r>
        <w:rPr>
          <w:rStyle w:val="FunctionTok"/>
        </w:rPr>
        <w:t xml:space="preserve">filter_Date</w:t>
      </w:r>
      <w:r>
        <w:rPr>
          <w:rStyle w:val="NormalTok"/>
        </w:rPr>
        <w:t xml:space="preserve">(</w:t>
      </w:r>
      <w:r>
        <w:rPr>
          <w:rStyle w:val="AttributeTok"/>
        </w:rPr>
        <w:t xml:space="preserve">start =</w:t>
      </w:r>
      <w:r>
        <w:rPr>
          <w:rStyle w:val="NormalTok"/>
        </w:rPr>
        <w:t xml:space="preserve"> </w:t>
      </w:r>
      <w:r>
        <w:rPr>
          <w:rStyle w:val="StringTok"/>
        </w:rPr>
        <w:t xml:space="preserve">"2024-06-10"</w:t>
      </w:r>
      <w:r>
        <w:rPr>
          <w:rStyle w:val="NormalTok"/>
        </w:rPr>
        <w:t xml:space="preserve">, </w:t>
      </w:r>
      <w:r>
        <w:rPr>
          <w:rStyle w:val="AttributeTok"/>
        </w:rPr>
        <w:t xml:space="preserve">length =</w:t>
      </w:r>
      <w:r>
        <w:rPr>
          <w:rStyle w:val="NormalTok"/>
        </w:rPr>
        <w:t xml:space="preserve"> </w:t>
      </w:r>
      <w:r>
        <w:rPr>
          <w:rStyle w:val="StringTok"/>
        </w:rPr>
        <w:t xml:space="preserve">"1 day"</w:t>
      </w:r>
      <w:r>
        <w:rPr>
          <w:rStyle w:val="NormalTok"/>
        </w:rPr>
        <w:t xml:space="preserve">)</w:t>
      </w:r>
      <w:r>
        <w:br/>
      </w:r>
      <w:r>
        <w:br/>
      </w:r>
      <w:r>
        <w:rPr>
          <w:rStyle w:val="NormalTok"/>
        </w:rPr>
        <w:t xml:space="preserve">dataVEET3_condensed </w:t>
      </w:r>
      <w:r>
        <w:rPr>
          <w:rStyle w:val="OtherTok"/>
        </w:rPr>
        <w:t xml:space="preserve">&lt;-</w:t>
      </w:r>
      <w:r>
        <w:rPr>
          <w:rStyle w:val="NormalTok"/>
        </w:rPr>
        <w:t xml:space="preserve"> </w:t>
      </w:r>
      <w:r>
        <w:br/>
      </w:r>
      <w:r>
        <w:rPr>
          <w:rStyle w:val="NormalTok"/>
        </w:rPr>
        <w:t xml:space="preserve">dataVEET3_part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(Datetime, </w:t>
      </w:r>
      <w:r>
        <w:rPr>
          <w:rStyle w:val="AttributeTok"/>
        </w:rPr>
        <w:t xml:space="preserve">.add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(conf1 </w:t>
      </w:r>
      <w:r>
        <w:rPr>
          <w:rStyle w:val="SpecialCharTok"/>
        </w:rPr>
        <w:t xml:space="preserve">&gt;=</w:t>
      </w:r>
      <w:r>
        <w:rPr>
          <w:rStyle w:val="NormalTok"/>
        </w:rPr>
        <w:t xml:space="preserve"> </w:t>
      </w:r>
      <w:r>
        <w:rPr>
          <w:rStyle w:val="FloatTok"/>
        </w:rPr>
        <w:t xml:space="preserve">0.1</w:t>
      </w:r>
      <w:r>
        <w:rPr>
          <w:rStyle w:val="NormalTok"/>
        </w:rPr>
        <w:t xml:space="preserv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distance_mean =</w:t>
      </w:r>
      <w:r>
        <w:rPr>
          <w:rStyle w:val="NormalTok"/>
        </w:rPr>
        <w:t xml:space="preserve"> </w:t>
      </w:r>
      <w:r>
        <w:rPr>
          <w:rStyle w:val="FunctionTok"/>
        </w:rPr>
        <w:t xml:space="preserve">mean</w:t>
      </w:r>
      <w:r>
        <w:rPr>
          <w:rStyle w:val="NormalTok"/>
        </w:rPr>
        <w:t xml:space="preserve">(dist1),</w:t>
      </w:r>
      <w:r>
        <w:br/>
      </w:r>
      <w:r>
        <w:rPr>
          <w:rStyle w:val="NormalTok"/>
        </w:rPr>
        <w:t xml:space="preserve">    </w:t>
      </w:r>
      <w:r>
        <w:rPr>
          <w:rStyle w:val="AttributeTok"/>
        </w:rPr>
        <w:t xml:space="preserve">distance_min =</w:t>
      </w:r>
      <w:r>
        <w:rPr>
          <w:rStyle w:val="NormalTok"/>
        </w:rPr>
        <w:t xml:space="preserve"> </w:t>
      </w:r>
      <w:r>
        <w:rPr>
          <w:rStyle w:val="FunctionTok"/>
        </w:rPr>
        <w:t xml:space="preserve">min</w:t>
      </w:r>
      <w:r>
        <w:rPr>
          <w:rStyle w:val="NormalTok"/>
        </w:rPr>
        <w:t xml:space="preserve">(dist1),</w:t>
      </w:r>
      <w:r>
        <w:br/>
      </w:r>
      <w:r>
        <w:rPr>
          <w:rStyle w:val="NormalTok"/>
        </w:rPr>
        <w:t xml:space="preserve">    </w:t>
      </w:r>
      <w:r>
        <w:rPr>
          <w:rStyle w:val="AttributeTok"/>
        </w:rPr>
        <w:t xml:space="preserve">distance_central =</w:t>
      </w:r>
      <w:r>
        <w:rPr>
          <w:rStyle w:val="NormalTok"/>
        </w:rPr>
        <w:t xml:space="preserve"> </w:t>
      </w:r>
      <w:r>
        <w:rPr>
          <w:rStyle w:val="FunctionTok"/>
        </w:rPr>
        <w:t xml:space="preserve">mean</w:t>
      </w:r>
      <w:r>
        <w:rPr>
          <w:rStyle w:val="NormalTok"/>
        </w:rPr>
        <w:t xml:space="preserve">(dist1[</w:t>
      </w:r>
      <w:r>
        <w:rPr>
          <w:rStyle w:val="FunctionTok"/>
        </w:rPr>
        <w:t xml:space="preserve">between</w:t>
      </w:r>
      <w:r>
        <w:rPr>
          <w:rStyle w:val="NormalTok"/>
        </w:rPr>
        <w:t xml:space="preserve">(x.pos, </w:t>
      </w:r>
      <w:r>
        <w:rPr>
          <w:rStyle w:val="SpecialCharTok"/>
        </w:rPr>
        <w:t xml:space="preserve">-</w:t>
      </w:r>
      <w:r>
        <w:rPr>
          <w:rStyle w:val="DecValTok"/>
        </w:rPr>
        <w:t xml:space="preserve">10</w:t>
      </w:r>
      <w:r>
        <w:rPr>
          <w:rStyle w:val="NormalTok"/>
        </w:rPr>
        <w:t xml:space="preserve">,</w:t>
      </w:r>
      <w:r>
        <w:rPr>
          <w:rStyle w:val="DecValTok"/>
        </w:rPr>
        <w:t xml:space="preserve">10</w:t>
      </w:r>
      <w:r>
        <w:rPr>
          <w:rStyle w:val="NormalTok"/>
        </w:rPr>
        <w:t xml:space="preserve">) </w:t>
      </w:r>
      <w:r>
        <w:rPr>
          <w:rStyle w:val="SpecialCharTok"/>
        </w:rPr>
        <w:t xml:space="preserve">&amp;</w:t>
      </w:r>
      <w:r>
        <w:rPr>
          <w:rStyle w:val="NormalTok"/>
        </w:rPr>
        <w:t xml:space="preserve"> </w:t>
      </w:r>
      <w:r>
        <w:rPr>
          <w:rStyle w:val="FunctionTok"/>
        </w:rPr>
        <w:t xml:space="preserve">between</w:t>
      </w:r>
      <w:r>
        <w:rPr>
          <w:rStyle w:val="NormalTok"/>
        </w:rPr>
        <w:t xml:space="preserve">(y.pos, </w:t>
      </w:r>
      <w:r>
        <w:rPr>
          <w:rStyle w:val="SpecialCharTok"/>
        </w:rPr>
        <w:t xml:space="preserve">-</w:t>
      </w:r>
      <w:r>
        <w:rPr>
          <w:rStyle w:val="DecValTok"/>
        </w:rPr>
        <w:t xml:space="preserve">10</w:t>
      </w:r>
      <w:r>
        <w:rPr>
          <w:rStyle w:val="NormalTok"/>
        </w:rPr>
        <w:t xml:space="preserve">,</w:t>
      </w:r>
      <w:r>
        <w:rPr>
          <w:rStyle w:val="DecValTok"/>
        </w:rPr>
        <w:t xml:space="preserve">10</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"drop_last"</w:t>
      </w:r>
      <w:r>
        <w:br/>
      </w:r>
      <w:r>
        <w:rPr>
          <w:rStyle w:val="NormalTok"/>
        </w:rPr>
        <w:t xml:space="preserve">  )</w:t>
      </w:r>
      <w:r>
        <w:br/>
      </w:r>
      <w:r>
        <w:br/>
      </w:r>
      <w:r>
        <w:rPr>
          <w:rStyle w:val="NormalTok"/>
        </w:rPr>
        <w:t xml:space="preserve">dataVEET3_condensed </w:t>
      </w:r>
      <w:r>
        <w:rPr>
          <w:rStyle w:val="SpecialCharTok"/>
        </w:rPr>
        <w:t xml:space="preserve">|&gt;</w:t>
      </w:r>
      <w:r>
        <w:rPr>
          <w:rStyle w:val="NormalTok"/>
        </w:rPr>
        <w:t xml:space="preserve"> </w:t>
      </w:r>
      <w:r>
        <w:br/>
      </w:r>
      <w:r>
        <w:rPr>
          <w:rStyle w:val="NormalTok"/>
        </w:rPr>
        <w:t xml:space="preserve">  </w:t>
      </w:r>
      <w:r>
        <w:rPr>
          <w:rStyle w:val="FunctionTok"/>
        </w:rPr>
        <w:t xml:space="preserve">aggregate_Datetime</w:t>
      </w:r>
      <w:r>
        <w:rPr>
          <w:rStyle w:val="NormalTok"/>
        </w:rPr>
        <w:t xml:space="preserve">(</w:t>
      </w:r>
      <w:r>
        <w:rPr>
          <w:rStyle w:val="StringTok"/>
        </w:rPr>
        <w:t xml:space="preserve">"15 mins"</w:t>
      </w:r>
      <w:r>
        <w:rPr>
          <w:rStyle w:val="NormalTok"/>
        </w:rPr>
        <w:t xml:space="preserve">, </w:t>
      </w:r>
      <w:r>
        <w:rPr>
          <w:rStyle w:val="AttributeTok"/>
        </w:rPr>
        <w:t xml:space="preserve">numeric.handler =</w:t>
      </w:r>
      <w:r>
        <w:rPr>
          <w:rStyle w:val="NormalTok"/>
        </w:rPr>
        <w:t xml:space="preserve"> \(x)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remove_partial_data</w:t>
      </w:r>
      <w:r>
        <w:rPr>
          <w:rStyle w:val="NormalTok"/>
        </w:rPr>
        <w:t xml:space="preserve">(</w:t>
      </w:r>
      <w:r>
        <w:rPr>
          <w:rStyle w:val="AttributeTok"/>
        </w:rPr>
        <w:t xml:space="preserve">by.date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contains</w:t>
      </w:r>
      <w:r>
        <w:rPr>
          <w:rStyle w:val="NormalTok"/>
        </w:rPr>
        <w:t xml:space="preserve">(</w:t>
      </w:r>
      <w:r>
        <w:rPr>
          <w:rStyle w:val="StringTok"/>
        </w:rPr>
        <w:t xml:space="preserve">"distance"</w:t>
      </w:r>
      <w:r>
        <w:rPr>
          <w:rStyle w:val="NormalTok"/>
        </w:rPr>
        <w:t xml:space="preserve">),</w:t>
      </w:r>
      <w:r>
        <w:br/>
      </w:r>
      <w:r>
        <w:rPr>
          <w:rStyle w:val="NormalTok"/>
        </w:rPr>
        <w:t xml:space="preserve">               </w:t>
      </w:r>
      <w:r>
        <w:rPr>
          <w:rStyle w:val="AttributeTok"/>
        </w:rPr>
        <w:t xml:space="preserve">names_to =</w:t>
      </w:r>
      <w:r>
        <w:rPr>
          <w:rStyle w:val="NormalTok"/>
        </w:rPr>
        <w:t xml:space="preserve"> </w:t>
      </w:r>
      <w:r>
        <w:rPr>
          <w:rStyle w:val="FunctionTok"/>
        </w:rPr>
        <w:t xml:space="preserve">c</w:t>
      </w:r>
      <w:r>
        <w:rPr>
          <w:rStyle w:val="NormalTok"/>
        </w:rPr>
        <w:t xml:space="preserve">(</w:t>
      </w:r>
      <w:r>
        <w:rPr>
          <w:rStyle w:val="StringTok"/>
        </w:rPr>
        <w:t xml:space="preserve">".value"</w:t>
      </w:r>
      <w:r>
        <w:rPr>
          <w:rStyle w:val="NormalTok"/>
        </w:rPr>
        <w:t xml:space="preserve">, </w:t>
      </w:r>
      <w:r>
        <w:rPr>
          <w:rStyle w:val="StringTok"/>
        </w:rPr>
        <w:t xml:space="preserve">"method"</w:t>
      </w:r>
      <w:r>
        <w:rPr>
          <w:rStyle w:val="NormalTok"/>
        </w:rPr>
        <w:t xml:space="preserve">),</w:t>
      </w:r>
      <w:r>
        <w:br/>
      </w:r>
      <w:r>
        <w:rPr>
          <w:rStyle w:val="NormalTok"/>
        </w:rPr>
        <w:t xml:space="preserve">    </w:t>
      </w:r>
      <w:r>
        <w:rPr>
          <w:rStyle w:val="AttributeTok"/>
        </w:rPr>
        <w:t xml:space="preserve">names_pattern =</w:t>
      </w:r>
      <w:r>
        <w:rPr>
          <w:rStyle w:val="NormalTok"/>
        </w:rPr>
        <w:t xml:space="preserve"> </w:t>
      </w:r>
      <w:r>
        <w:rPr>
          <w:rStyle w:val="StringTok"/>
        </w:rPr>
        <w:t xml:space="preserve">"(distance)_(mean|min|max|central)"</w:t>
      </w:r>
      <w:r>
        <w:br/>
      </w:r>
      <w:r>
        <w:rPr>
          <w:rStyle w:val="NormalTok"/>
        </w:rPr>
        <w:t xml:space="preserve">    ) </w:t>
      </w:r>
      <w:r>
        <w:rPr>
          <w:rStyle w:val="SpecialCharTok"/>
        </w:rPr>
        <w:t xml:space="preserve">|&gt;</w:t>
      </w:r>
      <w:r>
        <w:br/>
      </w:r>
      <w:r>
        <w:rPr>
          <w:rStyle w:val="NormalTok"/>
        </w:rPr>
        <w:t xml:space="preserve">  </w:t>
      </w:r>
      <w:r>
        <w:rPr>
          <w:rStyle w:val="FunctionTok"/>
        </w:rPr>
        <w:t xml:space="preserve">gg_day</w:t>
      </w:r>
      <w:r>
        <w:rPr>
          <w:rStyle w:val="NormalTok"/>
        </w:rPr>
        <w:t xml:space="preserve">(</w:t>
      </w:r>
      <w:r>
        <w:rPr>
          <w:rStyle w:val="AttributeTok"/>
        </w:rPr>
        <w:t xml:space="preserve">y.axis =</w:t>
      </w:r>
      <w:r>
        <w:rPr>
          <w:rStyle w:val="NormalTok"/>
        </w:rPr>
        <w:t xml:space="preserve"> distance</w:t>
      </w:r>
      <w:r>
        <w:rPr>
          <w:rStyle w:val="SpecialCharTok"/>
        </w:rPr>
        <w:t xml:space="preserve">/</w:t>
      </w:r>
      <w:r>
        <w:rPr>
          <w:rStyle w:val="DecValTok"/>
        </w:rPr>
        <w:t xml:space="preserve">10</w:t>
      </w:r>
      <w:r>
        <w:rPr>
          <w:rStyle w:val="NormalTok"/>
        </w:rPr>
        <w:t xml:space="preserve">,</w:t>
      </w:r>
      <w:r>
        <w:br/>
      </w:r>
      <w:r>
        <w:rPr>
          <w:rStyle w:val="NormalTok"/>
        </w:rPr>
        <w:t xml:space="preserve">         </w:t>
      </w:r>
      <w:r>
        <w:rPr>
          <w:rStyle w:val="AttributeTok"/>
        </w:rPr>
        <w:t xml:space="preserve">geom =</w:t>
      </w:r>
      <w:r>
        <w:rPr>
          <w:rStyle w:val="NormalTok"/>
        </w:rPr>
        <w:t xml:space="preserve"> </w:t>
      </w:r>
      <w:r>
        <w:rPr>
          <w:rStyle w:val="StringTok"/>
        </w:rPr>
        <w:t xml:space="preserve">"line"</w:t>
      </w:r>
      <w:r>
        <w:rPr>
          <w:rStyle w:val="NormalTok"/>
        </w:rPr>
        <w:t xml:space="preserve">,</w:t>
      </w:r>
      <w:r>
        <w:br/>
      </w:r>
      <w:r>
        <w:rPr>
          <w:rStyle w:val="NormalTok"/>
        </w:rPr>
        <w:t xml:space="preserve">         </w:t>
      </w:r>
      <w:r>
        <w:rPr>
          <w:rStyle w:val="AttributeTok"/>
        </w:rPr>
        <w:t xml:space="preserve">aes_col =</w:t>
      </w:r>
      <w:r>
        <w:rPr>
          <w:rStyle w:val="NormalTok"/>
        </w:rPr>
        <w:t xml:space="preserve"> method,</w:t>
      </w:r>
      <w:r>
        <w:br/>
      </w:r>
      <w:r>
        <w:rPr>
          <w:rStyle w:val="NormalTok"/>
        </w:rPr>
        <w:t xml:space="preserve">         </w:t>
      </w:r>
      <w:r>
        <w:rPr>
          <w:rStyle w:val="AttributeTok"/>
        </w:rPr>
        <w:t xml:space="preserve">group =</w:t>
      </w:r>
      <w:r>
        <w:rPr>
          <w:rStyle w:val="NormalTok"/>
        </w:rPr>
        <w:t xml:space="preserve"> method,</w:t>
      </w:r>
      <w:r>
        <w:br/>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AttributeTok"/>
        </w:rPr>
        <w:t xml:space="preserve">y.scale =</w:t>
      </w:r>
      <w:r>
        <w:rPr>
          <w:rStyle w:val="NormalTok"/>
        </w:rPr>
        <w:t xml:space="preserve"> </w:t>
      </w:r>
      <w:r>
        <w:rPr>
          <w:rStyle w:val="StringTok"/>
        </w:rPr>
        <w:t xml:space="preserve">"identity"</w:t>
      </w:r>
      <w:r>
        <w:rPr>
          <w:rStyle w:val="NormalTok"/>
        </w:rPr>
        <w:t xml:space="preserve">,</w:t>
      </w:r>
      <w:r>
        <w:br/>
      </w:r>
      <w:r>
        <w:rPr>
          <w:rStyle w:val="NormalTok"/>
        </w:rPr>
        <w:t xml:space="preserve">         </w:t>
      </w:r>
      <w:r>
        <w:rPr>
          <w:rStyle w:val="AttributeTok"/>
        </w:rPr>
        <w:t xml:space="preserve">y.axis.breaks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w:t>
      </w:r>
      <w:r>
        <w:rPr>
          <w:rStyle w:val="DecValTok"/>
        </w:rPr>
        <w:t xml:space="preserve">150</w:t>
      </w:r>
      <w:r>
        <w:rPr>
          <w:rStyle w:val="NormalTok"/>
        </w:rPr>
        <w:t xml:space="preserve">, </w:t>
      </w:r>
      <w:r>
        <w:rPr>
          <w:rStyle w:val="AttributeTok"/>
        </w:rPr>
        <w:t xml:space="preserve">by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y.axis.label =</w:t>
      </w:r>
      <w:r>
        <w:rPr>
          <w:rStyle w:val="NormalTok"/>
        </w:rPr>
        <w:t xml:space="preserve"> </w:t>
      </w:r>
      <w:r>
        <w:rPr>
          <w:rStyle w:val="StringTok"/>
        </w:rPr>
        <w:t xml:space="preserve">"Distance (cm)"</w:t>
      </w:r>
      <w:r>
        <w:br/>
      </w:r>
      <w:r>
        <w:rPr>
          <w:rStyle w:val="NormalTok"/>
        </w:rPr>
        <w:t xml:space="preserve">         ) </w:t>
      </w:r>
      <w:r>
        <w:rPr>
          <w:rStyle w:val="SpecialCharTok"/>
        </w:rPr>
        <w:t xml:space="preserve">|&gt;</w:t>
      </w:r>
      <w:r>
        <w:br/>
      </w:r>
      <w:r>
        <w:rPr>
          <w:rStyle w:val="NormalTok"/>
        </w:rPr>
        <w:t xml:space="preserve">  </w:t>
      </w:r>
      <w:r>
        <w:rPr>
          <w:rStyle w:val="FunctionTok"/>
        </w:rPr>
        <w:t xml:space="preserve">gg_photoperiod</w:t>
      </w:r>
      <w:r>
        <w:rPr>
          <w:rStyle w:val="NormalTok"/>
        </w:rPr>
        <w:t xml:space="preserve">(coordinates)</w:t>
      </w:r>
    </w:p>
    <w:bookmarkEnd w:id="91"/>
    <w:p>
      <w:pPr>
        <w:pStyle w:val="DefinitionTerm"/>
      </w:pPr>
      <w:r>
        <w:t xml:space="preserve">Lines 1-3</w:t>
      </w:r>
    </w:p>
    <w:p>
      <w:pPr>
        <w:pStyle w:val="Definition"/>
      </w:pPr>
      <w:r>
        <w:t xml:space="preserve">Filter one day</w:t>
      </w:r>
    </w:p>
    <w:p>
      <w:pPr>
        <w:pStyle w:val="DefinitionTerm"/>
      </w:pPr>
      <w:r>
        <w:t xml:space="preserve">Line 7</w:t>
      </w:r>
    </w:p>
    <w:p>
      <w:pPr>
        <w:pStyle w:val="Definition"/>
      </w:pPr>
      <w:r>
        <w:t xml:space="preserve">Group additionally by every observation</w:t>
      </w:r>
    </w:p>
    <w:p>
      <w:pPr>
        <w:pStyle w:val="DefinitionTerm"/>
      </w:pPr>
      <w:r>
        <w:t xml:space="preserve">Line 8</w:t>
      </w:r>
    </w:p>
    <w:p>
      <w:pPr>
        <w:pStyle w:val="Definition"/>
      </w:pPr>
      <w:r>
        <w:t xml:space="preserve">Remove data with low confidence</w:t>
      </w:r>
    </w:p>
    <w:p>
      <w:pPr>
        <w:pStyle w:val="DefinitionTerm"/>
      </w:pPr>
      <w:r>
        <w:t xml:space="preserve">Line 10</w:t>
      </w:r>
    </w:p>
    <w:p>
      <w:pPr>
        <w:pStyle w:val="Definition"/>
      </w:pPr>
      <w:r>
        <w:t xml:space="preserve">Average across all distance values</w:t>
      </w:r>
    </w:p>
    <w:p>
      <w:pPr>
        <w:pStyle w:val="DefinitionTerm"/>
      </w:pPr>
      <w:r>
        <w:t xml:space="preserve">Line 11</w:t>
      </w:r>
    </w:p>
    <w:p>
      <w:pPr>
        <w:pStyle w:val="Definition"/>
      </w:pPr>
      <w:r>
        <w:t xml:space="preserve">Closest across all distance values</w:t>
      </w:r>
    </w:p>
    <w:p>
      <w:pPr>
        <w:pStyle w:val="DefinitionTerm"/>
      </w:pPr>
      <w:r>
        <w:t xml:space="preserve">Line 12</w:t>
      </w:r>
    </w:p>
    <w:p>
      <w:pPr>
        <w:pStyle w:val="Definition"/>
      </w:pPr>
      <w:r>
        <w:t xml:space="preserve">Central distance</w:t>
      </w:r>
    </w:p>
    <w:p>
      <w:pPr>
        <w:pStyle w:val="DefinitionTerm"/>
      </w:pPr>
      <w:r>
        <w:t xml:space="preserve">Line 13</w:t>
      </w:r>
    </w:p>
    <w:p>
      <w:pPr>
        <w:pStyle w:val="Definition"/>
      </w:pPr>
      <w:r>
        <w:t xml:space="preserve">Number of (valid) grid points</w:t>
      </w:r>
    </w:p>
    <w:p>
      <w:pPr>
        <w:pStyle w:val="DefinitionTerm"/>
      </w:pPr>
      <w:r>
        <w:t xml:space="preserve">Line 18</w:t>
      </w:r>
    </w:p>
    <w:p>
      <w:pPr>
        <w:pStyle w:val="Definition"/>
      </w:pPr>
      <w:r>
        <w:t xml:space="preserve">Aggregate to 15 minute data</w:t>
      </w:r>
    </w:p>
    <w:p>
      <w:pPr>
        <w:pStyle w:val="DefinitionTerm"/>
      </w:pPr>
      <w:r>
        <w:t xml:space="preserve">Line 19</w:t>
      </w:r>
    </w:p>
    <w:p>
      <w:pPr>
        <w:pStyle w:val="Definition"/>
      </w:pPr>
      <w:r>
        <w:t xml:space="preserve">Remove data points that fall exactly on midnight of the following day</w:t>
      </w:r>
    </w:p>
    <w:p>
      <w:pPr>
        <w:pStyle w:val="DefinitionTerm"/>
      </w:pPr>
      <w:r>
        <w:t xml:space="preserve">Lines 20-23</w:t>
      </w:r>
    </w:p>
    <w:p>
      <w:pPr>
        <w:pStyle w:val="Definition"/>
      </w:pPr>
      <w:r>
        <w:t xml:space="preserve">Pivoting the method results from wide to long for plotting</w:t>
      </w:r>
    </w:p>
    <w:p>
      <w:pPr>
        <w:pStyle w:val="DefinitionTerm"/>
      </w:pPr>
      <w:r>
        <w:t xml:space="preserve">Lines 24-34</w:t>
      </w:r>
    </w:p>
    <w:p>
      <w:pPr>
        <w:pStyle w:val="Definition"/>
      </w:pPr>
      <w:r>
        <w:t xml:space="preserve">Setting up the plot for distance.</w:t>
      </w:r>
    </w:p>
    <w:tbl>
      <w:tblPr>
        <w:tblStyle w:val="Table"/>
        <w:tblW w:type="pct" w:w="5000"/>
        <w:tblLayout w:type="fixed"/>
        <w:tblLook w:firstRow="0" w:lastRow="0" w:firstColumn="0" w:lastColumn="0" w:noHBand="0" w:noVBand="0" w:val="0000"/>
      </w:tblPr>
      <w:tblGrid>
        <w:gridCol w:w="7920"/>
      </w:tblGrid>
      <w:tr>
        <w:tc>
          <w:tcPr/>
          <w:bookmarkStart w:id="95" w:name="fig-VEET-distance_methods"/>
          <w:p>
            <w:pPr>
              <w:pStyle w:val="Compact"/>
              <w:jc w:val="center"/>
            </w:pPr>
            <w:r>
              <w:drawing>
                <wp:inline>
                  <wp:extent cx="5334000" cy="3333750"/>
                  <wp:effectExtent b="0" l="0" r="0" t="0"/>
                  <wp:docPr descr="" title="" id="93" name="Picture"/>
                  <a:graphic>
                    <a:graphicData uri="http://schemas.openxmlformats.org/drawingml/2006/picture">
                      <pic:pic>
                        <pic:nvPicPr>
                          <pic:cNvPr descr="index_files/figure-docx/fig-VEET-distance_methods-1.png" id="94" name="Picture"/>
                          <pic:cNvPicPr>
                            <a:picLocks noChangeArrowheads="1" noChangeAspect="1"/>
                          </pic:cNvPicPr>
                        </pic:nvPicPr>
                        <pic:blipFill>
                          <a:blip r:embed="rId92"/>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Comparison of condensation methods for spatial grid of distance measurements. The lines represent an average across all data points (yellow), the minimum distance (grey), or the central 10° (blue). Data points with confidence less than 10% were removed prior to calculation.</w:t>
            </w:r>
          </w:p>
          <w:bookmarkEnd w:id="95"/>
        </w:tc>
      </w:tr>
    </w:tbl>
    <w:p>
      <w:pPr>
        <w:pStyle w:val="BodyText"/>
      </w:pPr>
      <w:r>
        <w:t xml:space="preserve">As can be seen in</w:t>
      </w:r>
      <w:r>
        <w:t xml:space="preserve"> </w:t>
      </w:r>
      <w:hyperlink w:anchor="fig-VEET-distance_methods">
        <w:r>
          <w:rPr>
            <w:rStyle w:val="Hyperlink"/>
          </w:rPr>
          <w:t xml:space="preserve">Figure 5</w:t>
        </w:r>
      </w:hyperlink>
      <w:r>
        <w:t xml:space="preserve">, while the overall pattern is similar regardless of the used method, there are notable differences between the methods, which will consequently affect downstream analyses. Most importantly, the process of condensation has to be well documented and reproducible, as shown above. Any of these data could now be used to calculate the</w:t>
      </w:r>
      <w:r>
        <w:t xml:space="preserve"> </w:t>
      </w:r>
      <w:r>
        <w:rPr>
          <w:rStyle w:val="VerbatimChar"/>
        </w:rPr>
        <w:t xml:space="preserve">frequency of continuous near work</w:t>
      </w:r>
      <w:r>
        <w:t xml:space="preserve">,</w:t>
      </w:r>
      <w:r>
        <w:t xml:space="preserve"> </w:t>
      </w:r>
      <w:r>
        <w:rPr>
          <w:rStyle w:val="VerbatimChar"/>
        </w:rPr>
        <w:t xml:space="preserve">visual breaks</w:t>
      </w:r>
      <w:r>
        <w:t xml:space="preserve">, or</w:t>
      </w:r>
      <w:r>
        <w:t xml:space="preserve"> </w:t>
      </w:r>
      <w:r>
        <w:rPr>
          <w:rStyle w:val="VerbatimChar"/>
        </w:rPr>
        <w:t xml:space="preserve">near-work episodes</w:t>
      </w:r>
      <w:r>
        <w:t xml:space="preserve"> </w:t>
      </w:r>
      <w:r>
        <w:t xml:space="preserve">as described above.</w:t>
      </w:r>
    </w:p>
    <w:bookmarkEnd w:id="96"/>
    <w:bookmarkEnd w:id="97"/>
    <w:bookmarkStart w:id="131" w:name="light"/>
    <w:p>
      <w:pPr>
        <w:pStyle w:val="Heading3"/>
      </w:pPr>
      <w:r>
        <w:t xml:space="preserve">Light</w:t>
      </w:r>
    </w:p>
    <w:p>
      <w:pPr>
        <w:pStyle w:val="FirstParagraph"/>
      </w:pPr>
      <w:r>
        <w:t xml:space="preserve">The</w:t>
      </w:r>
      <w:r>
        <w:t xml:space="preserve"> </w:t>
      </w:r>
      <w:r>
        <w:rPr>
          <w:rStyle w:val="VerbatimChar"/>
        </w:rPr>
        <w:t xml:space="preserve">Clouclip</w:t>
      </w:r>
      <w:r>
        <w:t xml:space="preserve"> </w:t>
      </w:r>
      <w:r>
        <w:t xml:space="preserve">illuminance data in our example cover indoor environments and are thus comparatively low, which would make certain daylight exposure summaries trivial or not meaningful. To better illustrate light exposure metrics, we turn to a different dataset, this one taken from the</w:t>
      </w:r>
      <w:r>
        <w:t xml:space="preserve"> </w:t>
      </w:r>
      <w:r>
        <w:rPr>
          <w:rStyle w:val="VerbatimChar"/>
        </w:rPr>
        <w:t xml:space="preserve">VEET</w:t>
      </w:r>
      <w:r>
        <w:t xml:space="preserve"> </w:t>
      </w:r>
      <w:r>
        <w:t xml:space="preserve">device’s illuminance data, which capture a broader range of lighting conditions (though both device types are able to capture broadly the same range of illuminance). We import the</w:t>
      </w:r>
      <w:r>
        <w:t xml:space="preserve"> </w:t>
      </w:r>
      <w:r>
        <w:rPr>
          <w:rStyle w:val="VerbatimChar"/>
        </w:rPr>
        <w:t xml:space="preserve">VEET</w:t>
      </w:r>
      <w:r>
        <w:t xml:space="preserve"> </w:t>
      </w:r>
      <w:r>
        <w:t xml:space="preserve">ambient light data (already preprocessed to have regular 5-second intervals as described above) and briefly examine its distribution.</w:t>
      </w:r>
    </w:p>
    <w:p>
      <w:pPr>
        <w:pStyle w:val="BodyText"/>
      </w:pPr>
      <w:r>
        <w:rPr>
          <w:b/>
          <w:bCs/>
        </w:rPr>
        <w:t xml:space="preserve">Illuminance distribution</w:t>
      </w:r>
      <w:r>
        <w:t xml:space="preserve">: The illuminance values from the</w:t>
      </w:r>
      <w:r>
        <w:t xml:space="preserve"> </w:t>
      </w:r>
      <w:r>
        <w:rPr>
          <w:rStyle w:val="VerbatimChar"/>
        </w:rPr>
        <w:t xml:space="preserve">Clouclip</w:t>
      </w:r>
      <w:r>
        <w:t xml:space="preserve"> </w:t>
      </w:r>
      <w:r>
        <w:t xml:space="preserve">were comparatively low, while the</w:t>
      </w:r>
      <w:r>
        <w:t xml:space="preserve"> </w:t>
      </w:r>
      <w:r>
        <w:rPr>
          <w:rStyle w:val="VerbatimChar"/>
        </w:rPr>
        <w:t xml:space="preserve">VEET</w:t>
      </w:r>
      <w:r>
        <w:t xml:space="preserve"> </w:t>
      </w:r>
      <w:r>
        <w:t xml:space="preserve">data include outdoor exposures up to several thousand lux. The contrast is evident from comparing histograms of the two datasets’ lux values (</w:t>
      </w:r>
      <w:r>
        <w:rPr>
          <w:rStyle w:val="VerbatimChar"/>
        </w:rPr>
        <w:t xml:space="preserve">Clouclip</w:t>
      </w:r>
      <w:r>
        <w:t xml:space="preserve"> </w:t>
      </w:r>
      <w:r>
        <w:t xml:space="preserve">vs. </w:t>
      </w:r>
      <w:r>
        <w:rPr>
          <w:rStyle w:val="VerbatimChar"/>
        </w:rPr>
        <w:t xml:space="preserve">VEET</w:t>
      </w:r>
      <w:r>
        <w:t xml:space="preserve">), where the main peak is similarly positioned between 10 and 100 lx, but the tails differ. The</w:t>
      </w:r>
      <w:r>
        <w:t xml:space="preserve"> </w:t>
      </w:r>
      <w:r>
        <w:rPr>
          <w:rStyle w:val="VerbatimChar"/>
        </w:rPr>
        <w:t xml:space="preserve">VEET</w:t>
      </w:r>
      <w:r>
        <w:t xml:space="preserve"> </w:t>
      </w:r>
      <w:r>
        <w:t xml:space="preserve">illuminance histogram (see</w:t>
      </w:r>
      <w:r>
        <w:t xml:space="preserve"> </w:t>
      </w:r>
      <w:hyperlink w:anchor="fig-hist-VEETlight">
        <w:r>
          <w:rPr>
            <w:rStyle w:val="Hyperlink"/>
          </w:rPr>
          <w:t xml:space="preserve">Figure 7</w:t>
        </w:r>
      </w:hyperlink>
      <w:r>
        <w:t xml:space="preserve">) shows a heavily skewed distribution with a considerable number of zero lx values (indicating intervals of complete darkness or the sensor being covered) and a long tail extending to very high lux values. Such zero-inflated and skewed data are common in wearable light measurements</w:t>
      </w:r>
      <w:r>
        <w:t xml:space="preserve"> </w:t>
      </w:r>
      <w:r>
        <w:t xml:space="preserve">(J. Zauner, Guidolin, and Spitschan)</w:t>
      </w:r>
      <w:r>
        <w:t xml:space="preserve">.</w:t>
      </w:r>
    </w:p>
    <w:tbl>
      <w:tblPr>
        <w:tblStyle w:val="Table"/>
        <w:tblW w:type="pct" w:w="5000"/>
        <w:tblLayout w:type="fixed"/>
        <w:tblLook w:firstRow="0" w:lastRow="0" w:firstColumn="0" w:lastColumn="0" w:noHBand="0" w:noVBand="0" w:val="0000"/>
      </w:tblPr>
      <w:tblGrid>
        <w:gridCol w:w="7920"/>
      </w:tblGrid>
      <w:tr>
        <w:tc>
          <w:tcPr/>
          <w:bookmarkStart w:id="101" w:name="fig-hist-CClight"/>
          <w:p>
            <w:pPr>
              <w:pStyle w:val="Compact"/>
              <w:jc w:val="center"/>
            </w:pPr>
            <w:r>
              <w:drawing>
                <wp:inline>
                  <wp:extent cx="5334000" cy="4267200"/>
                  <wp:effectExtent b="0" l="0" r="0" t="0"/>
                  <wp:docPr descr="" title="" id="99" name="Picture"/>
                  <a:graphic>
                    <a:graphicData uri="http://schemas.openxmlformats.org/drawingml/2006/picture">
                      <pic:pic>
                        <pic:nvPicPr>
                          <pic:cNvPr descr="index_files/figure-docx/fig-hist-CClight-1.png" id="100" name="Picture"/>
                          <pic:cNvPicPr>
                            <a:picLocks noChangeArrowheads="1" noChangeAspect="1"/>
                          </pic:cNvPicPr>
                        </pic:nvPicPr>
                        <pic:blipFill>
                          <a:blip r:embed="rId98"/>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Histogram of illuminance values from the Clouclip dataset (5-second data). The values are very low and are typical of indoor conditions.</w:t>
            </w:r>
          </w:p>
          <w:bookmarkEnd w:id="101"/>
        </w:tc>
      </w:tr>
    </w:tbl>
    <w:tbl>
      <w:tblPr>
        <w:tblStyle w:val="Table"/>
        <w:tblW w:type="pct" w:w="5000"/>
        <w:tblLayout w:type="fixed"/>
        <w:tblLook w:firstRow="0" w:lastRow="0" w:firstColumn="0" w:lastColumn="0" w:noHBand="0" w:noVBand="0" w:val="0000"/>
      </w:tblPr>
      <w:tblGrid>
        <w:gridCol w:w="7920"/>
      </w:tblGrid>
      <w:tr>
        <w:tc>
          <w:tcPr/>
          <w:bookmarkStart w:id="105" w:name="fig-hist-VEETlight"/>
          <w:p>
            <w:pPr>
              <w:pStyle w:val="Compact"/>
              <w:jc w:val="center"/>
            </w:pPr>
            <w:r>
              <w:drawing>
                <wp:inline>
                  <wp:extent cx="5334000" cy="4267200"/>
                  <wp:effectExtent b="0" l="0" r="0" t="0"/>
                  <wp:docPr descr="" title="" id="103" name="Picture"/>
                  <a:graphic>
                    <a:graphicData uri="http://schemas.openxmlformats.org/drawingml/2006/picture">
                      <pic:pic>
                        <pic:nvPicPr>
                          <pic:cNvPr descr="index_files/figure-docx/fig-hist-VEETlight-1.png" id="104" name="Picture"/>
                          <pic:cNvPicPr>
                            <a:picLocks noChangeArrowheads="1" noChangeAspect="1"/>
                          </pic:cNvPicPr>
                        </pic:nvPicPr>
                        <pic:blipFill>
                          <a:blip r:embed="rId102"/>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7: Histogram of illuminance values from the VEET dataset (aggregated to 5 s). Note the logarithmic x-axis: the distribution is highly skewed with many low values (including zeros) and a long tail of high lux readings. Outdoor light exposures in bright conditions are distinguishable around 10^3 to 10^4 lx.</w:t>
            </w:r>
          </w:p>
          <w:bookmarkEnd w:id="105"/>
        </w:tc>
      </w:tr>
    </w:tbl>
    <w:p>
      <w:pPr>
        <w:pStyle w:val="BodyText"/>
      </w:pPr>
      <w:r>
        <w:t xml:space="preserve">After confirming that the</w:t>
      </w:r>
      <w:r>
        <w:t xml:space="preserve"> </w:t>
      </w:r>
      <w:r>
        <w:rPr>
          <w:rStyle w:val="VerbatimChar"/>
        </w:rPr>
        <w:t xml:space="preserve">VEET</w:t>
      </w:r>
      <w:r>
        <w:t xml:space="preserve"> </w:t>
      </w:r>
      <w:r>
        <w:t xml:space="preserve">data cover a broad dynamic range of lighting, we proceed with calculating light exposure metrics. (The VEET data had been cleaned for gaps and irregularities as described earlier, and non-wear times were removed; see</w:t>
      </w:r>
      <w:r>
        <w:t xml:space="preserve"> </w:t>
      </w:r>
      <w:hyperlink r:id="rId28">
        <w:r>
          <w:rPr>
            <w:rStyle w:val="Hyperlink"/>
          </w:rPr>
          <w:t xml:space="preserve">Supplement 1</w:t>
        </w:r>
      </w:hyperlink>
      <w:r>
        <w:t xml:space="preserve"> </w:t>
      </w:r>
      <w:r>
        <w:t xml:space="preserve">for the details.)</w:t>
      </w:r>
    </w:p>
    <w:bookmarkStart w:id="112" w:name="sec-avelight"/>
    <w:p>
      <w:pPr>
        <w:pStyle w:val="Heading4"/>
      </w:pPr>
      <w:r>
        <w:t xml:space="preserve">Average light exposure</w:t>
      </w:r>
    </w:p>
    <w:p>
      <w:pPr>
        <w:pStyle w:val="FirstParagraph"/>
      </w:pPr>
      <w:r>
        <w:t xml:space="preserve">A basic metric is the average illuminance over the day.</w:t>
      </w:r>
      <w:r>
        <w:t xml:space="preserve"> </w:t>
      </w:r>
      <w:hyperlink w:anchor="tbl-lightexposure">
        <w:r>
          <w:rPr>
            <w:rStyle w:val="Hyperlink"/>
          </w:rPr>
          <w:t xml:space="preserve">Table 9</w:t>
        </w:r>
      </w:hyperlink>
      <w:r>
        <w:t xml:space="preserve"> </w:t>
      </w:r>
      <w:r>
        <w:t xml:space="preserve">shows the mean illuminance (in lux) for weekdays, weekends, and the overall daily mean, calculated directly from the raw lux values.</w:t>
      </w:r>
    </w:p>
    <w:p>
      <w:pPr>
        <w:pStyle w:val="SourceCode"/>
      </w:pPr>
      <w:r>
        <w:rPr>
          <w:rStyle w:val="NormalTok"/>
        </w:rPr>
        <w:t xml:space="preserve">dataVEET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(Id, Date, Datetime, Lux) </w:t>
      </w:r>
      <w:r>
        <w:rPr>
          <w:rStyle w:val="SpecialCharTok"/>
        </w:rPr>
        <w:t xml:space="preserve">|&gt;</w:t>
      </w:r>
      <w:r>
        <w:rPr>
          <w:rStyle w:val="NormalTok"/>
        </w:rPr>
        <w:t xml:space="preserve"> </w:t>
      </w:r>
      <w:r>
        <w:br/>
      </w:r>
      <w:r>
        <w:rPr>
          <w:rStyle w:val="NormalTok"/>
        </w:rPr>
        <w:t xml:space="preserve">  </w:t>
      </w:r>
      <w:r>
        <w:rPr>
          <w:rStyle w:val="FunctionTok"/>
        </w:rPr>
        <w:t xml:space="preserve">summarize_numeric</w:t>
      </w:r>
      <w:r>
        <w:rPr>
          <w:rStyle w:val="NormalTok"/>
        </w:rPr>
        <w:t xml:space="preserve">(</w:t>
      </w:r>
      <w:r>
        <w:rPr>
          <w:rStyle w:val="AttributeTok"/>
        </w:rPr>
        <w:t xml:space="preserve">prefix =</w:t>
      </w:r>
      <w:r>
        <w:rPr>
          <w:rStyle w:val="NormalTok"/>
        </w:rPr>
        <w:t xml:space="preserve"> </w:t>
      </w:r>
      <w:r>
        <w:rPr>
          <w:rStyle w:val="StringTok"/>
        </w:rPr>
        <w:t xml:space="preserve">"mean "</w:t>
      </w:r>
      <w:r>
        <w:rPr>
          <w:rStyle w:val="NormalTok"/>
        </w:rPr>
        <w:t xml:space="preserve">, </w:t>
      </w:r>
      <w:r>
        <w:rPr>
          <w:rStyle w:val="AttributeTok"/>
        </w:rPr>
        <w:t xml:space="preserve">remove =</w:t>
      </w:r>
      <w:r>
        <w:rPr>
          <w:rStyle w:val="NormalTok"/>
        </w:rPr>
        <w:t xml:space="preserve"> </w:t>
      </w:r>
      <w:r>
        <w:rPr>
          <w:rStyle w:val="FunctionTok"/>
        </w:rPr>
        <w:t xml:space="preserve">c</w:t>
      </w:r>
      <w:r>
        <w:rPr>
          <w:rStyle w:val="NormalTok"/>
        </w:rPr>
        <w:t xml:space="preserve">(</w:t>
      </w:r>
      <w:r>
        <w:rPr>
          <w:rStyle w:val="StringTok"/>
        </w:rPr>
        <w:t xml:space="preserve">"Datetime"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to_mean_daily</w:t>
      </w:r>
      <w:r>
        <w:rPr>
          <w:rStyle w:val="NormalTok"/>
        </w:rPr>
        <w:t xml:space="preserve">() </w:t>
      </w:r>
      <w:r>
        <w:rPr>
          <w:rStyle w:val="SpecialCharTok"/>
        </w:rPr>
        <w:t xml:space="preserve">|&gt;</w:t>
      </w:r>
      <w:r>
        <w:br/>
      </w:r>
      <w:r>
        <w:rPr>
          <w:rStyle w:val="NormalTok"/>
        </w:rPr>
        <w:t xml:space="preserve">  </w:t>
      </w:r>
      <w:r>
        <w:rPr>
          <w:rStyle w:val="FunctionTok"/>
        </w:rPr>
        <w:t xml:space="preserve">fmt_number</w:t>
      </w:r>
      <w:r>
        <w:rPr>
          <w:rStyle w:val="NormalTok"/>
        </w:rPr>
        <w:t xml:space="preserve">(</w:t>
      </w:r>
      <w:r>
        <w:rPr>
          <w:rStyle w:val="AttributeTok"/>
        </w:rPr>
        <w:t xml:space="preserve">decimals =</w:t>
      </w:r>
      <w:r>
        <w:rPr>
          <w:rStyle w:val="NormalTok"/>
        </w:rPr>
        <w:t xml:space="preserve"> </w:t>
      </w:r>
      <w:r>
        <w:rPr>
          <w:rStyle w:val="DecValTok"/>
        </w:rPr>
        <w:t xml:space="preserve">1</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cols_hide</w:t>
      </w:r>
      <w:r>
        <w:rPr>
          <w:rStyle w:val="NormalTok"/>
        </w:rPr>
        <w:t xml:space="preserve">(</w:t>
      </w:r>
      <w:r>
        <w:rPr>
          <w:rStyle w:val="StringTok"/>
        </w:rPr>
        <w:t xml:space="preserve">`</w:t>
      </w:r>
      <w:r>
        <w:rPr>
          <w:rStyle w:val="AttributeTok"/>
        </w:rPr>
        <w:t xml:space="preserve">average episodes</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cols_label</w:t>
      </w:r>
      <w:r>
        <w:rPr>
          <w:rStyle w:val="NormalTok"/>
        </w:rPr>
        <w:t xml:space="preserve">(</w:t>
      </w:r>
      <w:r>
        <w:rPr>
          <w:rStyle w:val="StringTok"/>
        </w:rPr>
        <w:t xml:space="preserve">`</w:t>
      </w:r>
      <w:r>
        <w:rPr>
          <w:rStyle w:val="AttributeTok"/>
        </w:rPr>
        <w:t xml:space="preserve">average mean Lux</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"Mean photopic illuminance (lx)"</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06" w:name="tbl-lightexposure"/>
          <w:p>
            <w:pPr>
              <w:jc w:val="center"/>
            </w:pPr>
            <w:pPr>
              <w:jc w:val="left"/>
              <w:spacing w:before="200"/>
              <w:pStyle w:val="ImageCaption"/>
            </w:pPr>
            <w:r>
              <w:t xml:space="preserve">Table 9: Mean light exposure (illuminance) per day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Date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Mean photopic illuminance (lx)</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VEET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daily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Weekday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538.1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Weekend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341.1</w:t>
                  </w:r>
                </w:p>
              </w:tc>
            </w:tr>
          </w:tbl>
          <w:bookmarkEnd w:id="106"/>
        </w:tc>
      </w:tr>
    </w:tbl>
    <w:p>
      <w:pPr>
        <w:pStyle w:val="BodyText"/>
      </w:pPr>
      <w:r>
        <w:t xml:space="preserve">However, because illuminance data tend to be extremely skewed and contain many zero values (periods of darkness), the arithmetic mean can be</w:t>
      </w:r>
      <w:r>
        <w:t xml:space="preserve"> </w:t>
      </w:r>
      <w:hyperlink r:id="rId107">
        <w:r>
          <w:rPr>
            <w:rStyle w:val="Hyperlink"/>
          </w:rPr>
          <w:t xml:space="preserve">misleading</w:t>
        </w:r>
      </w:hyperlink>
      <w:r>
        <w:t xml:space="preserve">. A common approach is to apply a logarithmic transform to illuminance before averaging, which down-weights extreme values and accounts for the multiplicative nature of light intensity effects. LightLogR provides helper functions</w:t>
      </w:r>
      <w:r>
        <w:t xml:space="preserve"> </w:t>
      </w:r>
      <w:hyperlink r:id="rId108">
        <w:r>
          <w:rPr>
            <w:rStyle w:val="VerbatimChar"/>
          </w:rPr>
          <w:t xml:space="preserve">log_zero_inflated()</w:t>
        </w:r>
      </w:hyperlink>
      <w:r>
        <w:t xml:space="preserve"> </w:t>
      </w:r>
      <w:r>
        <w:t xml:space="preserve">and its inverse</w:t>
      </w:r>
      <w:r>
        <w:t xml:space="preserve"> </w:t>
      </w:r>
      <w:hyperlink r:id="rId109">
        <w:r>
          <w:rPr>
            <w:rStyle w:val="VerbatimChar"/>
          </w:rPr>
          <w:t xml:space="preserve">exp_zero_inflated()</w:t>
        </w:r>
      </w:hyperlink>
      <w:r>
        <w:t xml:space="preserve"> </w:t>
      </w:r>
      <w:r>
        <w:t xml:space="preserve">to handle log-transformation when zeros are present (by adding a small offset before log, and back-transforming after averaging). Using this approach, we recompute the daily mean illuminance. The results in</w:t>
      </w:r>
      <w:r>
        <w:t xml:space="preserve"> </w:t>
      </w:r>
      <w:hyperlink w:anchor="tbl-lightexposure2">
        <w:r>
          <w:rPr>
            <w:rStyle w:val="Hyperlink"/>
          </w:rPr>
          <w:t xml:space="preserve">Table 10</w:t>
        </w:r>
      </w:hyperlink>
      <w:r>
        <w:t xml:space="preserve"> </w:t>
      </w:r>
      <w:r>
        <w:t xml:space="preserve">show that the log-transformed mean (back-transformed to lux) is much lower, reflecting the fact that for much of the time illuminance was near zero. This transformed mean is often more representative of typical exposure for skewed data.</w:t>
      </w:r>
    </w:p>
    <w:bookmarkStart w:id="110" w:name="annotated-cell-14"/>
    <w:p>
      <w:pPr>
        <w:pStyle w:val="SourceCode"/>
      </w:pPr>
      <w:r>
        <w:rPr>
          <w:rStyle w:val="NormalTok"/>
        </w:rPr>
        <w:t xml:space="preserve">dataVEET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(Id, Date, Datetime, Lux)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Lux =</w:t>
      </w:r>
      <w:r>
        <w:rPr>
          <w:rStyle w:val="NormalTok"/>
        </w:rPr>
        <w:t xml:space="preserve"> Lux </w:t>
      </w:r>
      <w:r>
        <w:rPr>
          <w:rStyle w:val="SpecialCharTok"/>
        </w:rPr>
        <w:t xml:space="preserve">|&gt;</w:t>
      </w:r>
      <w:r>
        <w:rPr>
          <w:rStyle w:val="NormalTok"/>
        </w:rPr>
        <w:t xml:space="preserve"> </w:t>
      </w:r>
      <w:r>
        <w:rPr>
          <w:rStyle w:val="FunctionTok"/>
        </w:rPr>
        <w:t xml:space="preserve">log_zero_inflated</w:t>
      </w:r>
      <w:r>
        <w:rPr>
          <w:rStyle w:val="NormalTok"/>
        </w:rPr>
        <w:t xml:space="preserve">()) </w:t>
      </w:r>
      <w:r>
        <w:rPr>
          <w:rStyle w:val="SpecialCharTok"/>
        </w:rPr>
        <w:t xml:space="preserve">|&gt;</w:t>
      </w:r>
      <w:r>
        <w:br/>
      </w:r>
      <w:r>
        <w:rPr>
          <w:rStyle w:val="NormalTok"/>
        </w:rPr>
        <w:t xml:space="preserve">  </w:t>
      </w:r>
      <w:r>
        <w:rPr>
          <w:rStyle w:val="FunctionTok"/>
        </w:rPr>
        <w:t xml:space="preserve">summarize_numeric</w:t>
      </w:r>
      <w:r>
        <w:rPr>
          <w:rStyle w:val="NormalTok"/>
        </w:rPr>
        <w:t xml:space="preserve">(</w:t>
      </w:r>
      <w:r>
        <w:rPr>
          <w:rStyle w:val="AttributeTok"/>
        </w:rPr>
        <w:t xml:space="preserve">prefix =</w:t>
      </w:r>
      <w:r>
        <w:rPr>
          <w:rStyle w:val="NormalTok"/>
        </w:rPr>
        <w:t xml:space="preserve"> </w:t>
      </w:r>
      <w:r>
        <w:rPr>
          <w:rStyle w:val="StringTok"/>
        </w:rPr>
        <w:t xml:space="preserve">"mean "</w:t>
      </w:r>
      <w:r>
        <w:rPr>
          <w:rStyle w:val="NormalTok"/>
        </w:rPr>
        <w:t xml:space="preserve">, </w:t>
      </w:r>
      <w:r>
        <w:rPr>
          <w:rStyle w:val="AttributeTok"/>
        </w:rPr>
        <w:t xml:space="preserve">remove =</w:t>
      </w:r>
      <w:r>
        <w:rPr>
          <w:rStyle w:val="NormalTok"/>
        </w:rPr>
        <w:t xml:space="preserve"> </w:t>
      </w:r>
      <w:r>
        <w:rPr>
          <w:rStyle w:val="FunctionTok"/>
        </w:rPr>
        <w:t xml:space="preserve">c</w:t>
      </w:r>
      <w:r>
        <w:rPr>
          <w:rStyle w:val="NormalTok"/>
        </w:rPr>
        <w:t xml:space="preserve">(</w:t>
      </w:r>
      <w:r>
        <w:rPr>
          <w:rStyle w:val="StringTok"/>
        </w:rPr>
        <w:t xml:space="preserve">"Datetime"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mean_daily</w:t>
      </w:r>
      <w:r>
        <w:rPr>
          <w:rStyle w:val="NormalTok"/>
        </w:rPr>
        <w:t xml:space="preserve">(</w:t>
      </w:r>
      <w:r>
        <w:rPr>
          <w:rStyle w:val="AttributeTok"/>
        </w:rPr>
        <w:t xml:space="preserve">prefix =</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mean Lux</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mean Lux</w:t>
      </w:r>
      <w:r>
        <w:rPr>
          <w:rStyle w:val="StringTok"/>
        </w:rPr>
        <w:t xml:space="preserve">`</w:t>
      </w:r>
      <w:r>
        <w:rPr>
          <w:rStyle w:val="NormalTok"/>
        </w:rPr>
        <w:t xml:space="preserve"> </w:t>
      </w:r>
      <w:r>
        <w:rPr>
          <w:rStyle w:val="SpecialCharTok"/>
        </w:rPr>
        <w:t xml:space="preserve">|&gt;</w:t>
      </w:r>
      <w:r>
        <w:rPr>
          <w:rStyle w:val="NormalTok"/>
        </w:rPr>
        <w:t xml:space="preserve"> </w:t>
      </w:r>
      <w:r>
        <w:rPr>
          <w:rStyle w:val="FunctionTok"/>
        </w:rPr>
        <w:t xml:space="preserve">exp_zero_inflated</w:t>
      </w:r>
      <w:r>
        <w:rPr>
          <w:rStyle w:val="NormalTok"/>
        </w:rPr>
        <w:t xml:space="preserve">()) </w:t>
      </w:r>
      <w:r>
        <w:rPr>
          <w:rStyle w:val="SpecialCharTok"/>
        </w:rPr>
        <w:t xml:space="preserve">|&gt;</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rPr>
          <w:rStyle w:val="FunctionTok"/>
        </w:rPr>
        <w:t xml:space="preserve">fmt_number</w:t>
      </w:r>
      <w:r>
        <w:rPr>
          <w:rStyle w:val="NormalTok"/>
        </w:rPr>
        <w:t xml:space="preserve">(</w:t>
      </w:r>
      <w:r>
        <w:rPr>
          <w:rStyle w:val="AttributeTok"/>
        </w:rPr>
        <w:t xml:space="preserve">decimals =</w:t>
      </w:r>
      <w:r>
        <w:rPr>
          <w:rStyle w:val="NormalTok"/>
        </w:rPr>
        <w:t xml:space="preserve"> </w:t>
      </w:r>
      <w:r>
        <w:rPr>
          <w:rStyle w:val="DecValTok"/>
        </w:rPr>
        <w:t xml:space="preserve">1</w:t>
      </w:r>
      <w:r>
        <w:rPr>
          <w:rStyle w:val="NormalTok"/>
        </w:rPr>
        <w:t xml:space="preserve">) </w:t>
      </w:r>
      <w:r>
        <w:rPr>
          <w:rStyle w:val="SpecialCharTok"/>
        </w:rPr>
        <w:t xml:space="preserve">|&gt;</w:t>
      </w:r>
      <w:r>
        <w:rPr>
          <w:rStyle w:val="NormalTok"/>
        </w:rPr>
        <w:t xml:space="preserve"> </w:t>
      </w:r>
      <w:r>
        <w:rPr>
          <w:rStyle w:val="FunctionTok"/>
        </w:rPr>
        <w:t xml:space="preserve">cols_hide</w:t>
      </w:r>
      <w:r>
        <w:rPr>
          <w:rStyle w:val="NormalTok"/>
        </w:rPr>
        <w:t xml:space="preserve">(episodes) </w:t>
      </w:r>
      <w:r>
        <w:rPr>
          <w:rStyle w:val="SpecialCharTok"/>
        </w:rPr>
        <w:t xml:space="preserve">|&gt;</w:t>
      </w:r>
      <w:r>
        <w:rPr>
          <w:rStyle w:val="NormalTok"/>
        </w:rPr>
        <w:t xml:space="preserve"> </w:t>
      </w:r>
      <w:r>
        <w:br/>
      </w:r>
      <w:r>
        <w:rPr>
          <w:rStyle w:val="NormalTok"/>
        </w:rPr>
        <w:t xml:space="preserve">  </w:t>
      </w:r>
      <w:r>
        <w:rPr>
          <w:rStyle w:val="FunctionTok"/>
        </w:rPr>
        <w:t xml:space="preserve">cols_label</w:t>
      </w:r>
      <w:r>
        <w:rPr>
          <w:rStyle w:val="NormalTok"/>
        </w:rPr>
        <w:t xml:space="preserve">(</w:t>
      </w:r>
      <w:r>
        <w:rPr>
          <w:rStyle w:val="StringTok"/>
        </w:rPr>
        <w:t xml:space="preserve">`</w:t>
      </w:r>
      <w:r>
        <w:rPr>
          <w:rStyle w:val="AttributeTok"/>
        </w:rPr>
        <w:t xml:space="preserve">mean Lux</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"Mean photopic illuminance (lx)"</w:t>
      </w:r>
      <w:r>
        <w:rPr>
          <w:rStyle w:val="NormalTok"/>
        </w:rPr>
        <w:t xml:space="preserve">)</w:t>
      </w:r>
    </w:p>
    <w:bookmarkEnd w:id="110"/>
    <w:p>
      <w:pPr>
        <w:pStyle w:val="DefinitionTerm"/>
      </w:pPr>
      <w:r>
        <w:t xml:space="preserve">Line 3</w:t>
      </w:r>
    </w:p>
    <w:p>
      <w:pPr>
        <w:pStyle w:val="Definition"/>
      </w:pPr>
      <w:r>
        <w:t xml:space="preserve">Log transform with zero handling (base 10)</w:t>
      </w:r>
    </w:p>
    <w:p>
      <w:pPr>
        <w:pStyle w:val="DefinitionTerm"/>
      </w:pPr>
      <w:r>
        <w:t xml:space="preserve">Line 5</w:t>
      </w:r>
    </w:p>
    <w:p>
      <w:pPr>
        <w:pStyle w:val="Definition"/>
      </w:pPr>
      <w:r>
        <w:t xml:space="preserve">Calculate daily mean of log-lux</w:t>
      </w:r>
    </w:p>
    <w:p>
      <w:pPr>
        <w:pStyle w:val="DefinitionTerm"/>
      </w:pPr>
      <w:r>
        <w:t xml:space="preserve">Line 6</w:t>
      </w:r>
    </w:p>
    <w:p>
      <w:pPr>
        <w:pStyle w:val="Definition"/>
      </w:pPr>
      <w:r>
        <w:t xml:space="preserve">Back-transform to lux</w:t>
      </w:r>
    </w:p>
    <w:tbl>
      <w:tblPr>
        <w:tblStyle w:val="Table"/>
        <w:tblW w:type="pct" w:w="5000"/>
        <w:tblLayout w:type="fixed"/>
        <w:tblLook w:firstRow="0" w:lastRow="0" w:firstColumn="0" w:lastColumn="0" w:noHBand="0" w:noVBand="0" w:val="0000"/>
      </w:tblPr>
      <w:tblGrid>
        <w:gridCol w:w="7920"/>
      </w:tblGrid>
      <w:tr>
        <w:tc>
          <w:tcPr/>
          <w:bookmarkStart w:id="111" w:name="tbl-lightexposure2"/>
          <w:p>
            <w:pPr>
              <w:jc w:val="center"/>
            </w:pPr>
            <w:pPr>
              <w:jc w:val="left"/>
              <w:spacing w:before="200"/>
              <w:pStyle w:val="ImageCaption"/>
            </w:pPr>
            <w:r>
              <w:t xml:space="preserve">Table 10: Mean light exposure per day (after logarithmic transformation to account for zero inflation and skewness)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Date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Mean photopic illuminance (lx)</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VEET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daily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Weekday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Weekend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33.9</w:t>
                  </w:r>
                </w:p>
              </w:tc>
            </w:tr>
          </w:tbl>
          <w:bookmarkEnd w:id="111"/>
        </w:tc>
      </w:tr>
    </w:tbl>
    <w:bookmarkEnd w:id="112"/>
    <w:bookmarkStart w:id="119" w:name="sec-outdoorlight"/>
    <w:p>
      <w:pPr>
        <w:pStyle w:val="Heading4"/>
      </w:pPr>
      <w:r>
        <w:t xml:space="preserve">Duration in high-light (outdoor) conditions</w:t>
      </w:r>
    </w:p>
    <w:p>
      <w:pPr>
        <w:pStyle w:val="FirstParagraph"/>
      </w:pPr>
      <w:r>
        <w:t xml:space="preserve">Another important metric is the amount of time spent under bright light, often used as a proxy for outdoor exposure. We define thresholds corresponding to outdoor light levels (e.g. 1000 lx and above). Here, we categorize each 5-second interval of illuminance into bands: Outdoor bright (≥1000 lx), Outdoor very bright (≥2000 lx), and Outdoor extremely bright (≥3000 lx). We then sum the duration in each category per day.</w:t>
      </w:r>
    </w:p>
    <w:p>
      <w:pPr>
        <w:pStyle w:val="BodyText"/>
      </w:pPr>
      <w:r>
        <w:t xml:space="preserve">While daylight levels can far exceed the recorded light levels, those are usually recorded with direct sunlight and without obstruction. Under normal viewing conditions, at eye level, and avoiding glare, daylight levels of a few thousand lux are at the higher end of the distribution</w:t>
      </w:r>
      <w:r>
        <w:t xml:space="preserve"> </w:t>
      </w:r>
      <w:r>
        <w:t xml:space="preserve">(Murukesu, Zauner, and Spitschan 2025)</w:t>
      </w:r>
      <w:r>
        <w:t xml:space="preserve">.</w:t>
      </w:r>
      <w:r>
        <w:t xml:space="preserve"> </w:t>
      </w:r>
      <w:hyperlink w:anchor="fig-hist-VEETlight">
        <w:r>
          <w:rPr>
            <w:rStyle w:val="Hyperlink"/>
          </w:rPr>
          <w:t xml:space="preserve">Figure 7</w:t>
        </w:r>
      </w:hyperlink>
      <w:r>
        <w:t xml:space="preserve"> </w:t>
      </w:r>
      <w:r>
        <w:t xml:space="preserve">shows a bimodal distribution, with the right mode representing outdoor lighting conditions. In a 2023 review of light dosimeters to investigate the light-myopia relationship</w:t>
      </w:r>
      <w:r>
        <w:t xml:space="preserve"> </w:t>
      </w:r>
      <w:r>
        <w:t xml:space="preserve">(Hönekopp and Weigelt 2023)</w:t>
      </w:r>
      <w:r>
        <w:t xml:space="preserve">, 1000 lx was the predominant cutoff value to distinguish indoor vs. outdoor environments. It is not, however, without critique, and both other thresholds</w:t>
      </w:r>
      <w:r>
        <w:t xml:space="preserve"> </w:t>
      </w:r>
      <w:r>
        <w:t xml:space="preserve">(Patterson Gentile et al. 2025)</w:t>
      </w:r>
      <w:r>
        <w:t xml:space="preserve"> </w:t>
      </w:r>
      <w:r>
        <w:t xml:space="preserve">and classification methods are proposed</w:t>
      </w:r>
      <w:r>
        <w:t xml:space="preserve"> </w:t>
      </w:r>
      <w:r>
        <w:t xml:space="preserve">(Tabandeh and Spitschan 2025)</w:t>
      </w:r>
      <w:r>
        <w:t xml:space="preserve">.</w:t>
      </w:r>
    </w:p>
    <w:p>
      <w:pPr>
        <w:pStyle w:val="SourceCode"/>
      </w:pPr>
      <w:r>
        <w:rPr>
          <w:rStyle w:val="NormalTok"/>
        </w:rPr>
        <w:t xml:space="preserve">out_breaks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1e3</w:t>
      </w:r>
      <w:r>
        <w:rPr>
          <w:rStyle w:val="NormalTok"/>
        </w:rPr>
        <w:t xml:space="preserve">, </w:t>
      </w:r>
      <w:r>
        <w:rPr>
          <w:rStyle w:val="FloatTok"/>
        </w:rPr>
        <w:t xml:space="preserve">2e3</w:t>
      </w:r>
      <w:r>
        <w:rPr>
          <w:rStyle w:val="NormalTok"/>
        </w:rPr>
        <w:t xml:space="preserve">, </w:t>
      </w:r>
      <w:r>
        <w:rPr>
          <w:rStyle w:val="FloatTok"/>
        </w:rPr>
        <w:t xml:space="preserve">3e3</w:t>
      </w:r>
      <w:r>
        <w:rPr>
          <w:rStyle w:val="NormalTok"/>
        </w:rPr>
        <w:t xml:space="preserve">, </w:t>
      </w:r>
      <w:r>
        <w:rPr>
          <w:rStyle w:val="ConstantTok"/>
        </w:rPr>
        <w:t xml:space="preserve">Inf</w:t>
      </w:r>
      <w:r>
        <w:rPr>
          <w:rStyle w:val="NormalTok"/>
        </w:rPr>
        <w:t xml:space="preserve">)</w:t>
      </w:r>
      <w:r>
        <w:br/>
      </w:r>
      <w:r>
        <w:rPr>
          <w:rStyle w:val="NormalTok"/>
        </w:rPr>
        <w:t xml:space="preserve">out_labels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"Indoor"</w:t>
      </w:r>
      <w:r>
        <w:rPr>
          <w:rStyle w:val="NormalTok"/>
        </w:rPr>
        <w:t xml:space="preserve">,                  </w:t>
      </w:r>
      <w:r>
        <w:rPr>
          <w:rStyle w:val="CommentTok"/>
        </w:rPr>
        <w:t xml:space="preserve"># [0, 1000) lx</w:t>
      </w:r>
      <w:r>
        <w:br/>
      </w:r>
      <w:r>
        <w:rPr>
          <w:rStyle w:val="NormalTok"/>
        </w:rPr>
        <w:t xml:space="preserve">    </w:t>
      </w:r>
      <w:r>
        <w:rPr>
          <w:rStyle w:val="StringTok"/>
        </w:rPr>
        <w:t xml:space="preserve">"Outdoor bright"</w:t>
      </w:r>
      <w:r>
        <w:rPr>
          <w:rStyle w:val="NormalTok"/>
        </w:rPr>
        <w:t xml:space="preserve">,          </w:t>
      </w:r>
      <w:r>
        <w:rPr>
          <w:rStyle w:val="CommentTok"/>
        </w:rPr>
        <w:t xml:space="preserve"># [1000, 2000) lx</w:t>
      </w:r>
      <w:r>
        <w:br/>
      </w:r>
      <w:r>
        <w:rPr>
          <w:rStyle w:val="NormalTok"/>
        </w:rPr>
        <w:t xml:space="preserve">    </w:t>
      </w:r>
      <w:r>
        <w:rPr>
          <w:rStyle w:val="StringTok"/>
        </w:rPr>
        <w:t xml:space="preserve">"Outdoor very bright"</w:t>
      </w:r>
      <w:r>
        <w:rPr>
          <w:rStyle w:val="NormalTok"/>
        </w:rPr>
        <w:t xml:space="preserve">,     </w:t>
      </w:r>
      <w:r>
        <w:rPr>
          <w:rStyle w:val="CommentTok"/>
        </w:rPr>
        <w:t xml:space="preserve"># [2000, 3000) lx</w:t>
      </w:r>
      <w:r>
        <w:br/>
      </w:r>
      <w:r>
        <w:rPr>
          <w:rStyle w:val="NormalTok"/>
        </w:rPr>
        <w:t xml:space="preserve">    </w:t>
      </w:r>
      <w:r>
        <w:rPr>
          <w:rStyle w:val="StringTok"/>
        </w:rPr>
        <w:t xml:space="preserve">"Outdoor extremely bright"</w:t>
      </w:r>
      <w:r>
        <w:rPr>
          <w:rStyle w:val="NormalTok"/>
        </w:rPr>
        <w:t xml:space="preserve"> </w:t>
      </w:r>
      <w:r>
        <w:rPr>
          <w:rStyle w:val="CommentTok"/>
        </w:rPr>
        <w:t xml:space="preserve"># [3000, ∞) lx</w:t>
      </w:r>
      <w:r>
        <w:br/>
      </w:r>
      <w:r>
        <w:rPr>
          <w:rStyle w:val="NormalTok"/>
        </w:rPr>
        <w:t xml:space="preserve">  )</w:t>
      </w:r>
      <w:r>
        <w:br/>
      </w:r>
      <w:r>
        <w:br/>
      </w:r>
      <w:r>
        <w:rPr>
          <w:rStyle w:val="NormalTok"/>
        </w:rPr>
        <w:t xml:space="preserve">dataVEET </w:t>
      </w:r>
      <w:r>
        <w:rPr>
          <w:rStyle w:val="OtherTok"/>
        </w:rPr>
        <w:t xml:space="preserve">&lt;-</w:t>
      </w:r>
      <w:r>
        <w:rPr>
          <w:rStyle w:val="NormalTok"/>
        </w:rPr>
        <w:t xml:space="preserve"> dataVEET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Lux_range =</w:t>
      </w:r>
      <w:r>
        <w:rPr>
          <w:rStyle w:val="NormalTok"/>
        </w:rPr>
        <w:t xml:space="preserve"> </w:t>
      </w:r>
      <w:r>
        <w:rPr>
          <w:rStyle w:val="FunctionTok"/>
        </w:rPr>
        <w:t xml:space="preserve">cut</w:t>
      </w:r>
      <w:r>
        <w:rPr>
          <w:rStyle w:val="NormalTok"/>
        </w:rPr>
        <w:t xml:space="preserve">(Lux, </w:t>
      </w:r>
      <w:r>
        <w:rPr>
          <w:rStyle w:val="AttributeTok"/>
        </w:rPr>
        <w:t xml:space="preserve">breaks =</w:t>
      </w:r>
      <w:r>
        <w:rPr>
          <w:rStyle w:val="NormalTok"/>
        </w:rPr>
        <w:t xml:space="preserve"> out_breaks, </w:t>
      </w:r>
      <w:r>
        <w:rPr>
          <w:rStyle w:val="AttributeTok"/>
        </w:rPr>
        <w:t xml:space="preserve">labels =</w:t>
      </w:r>
      <w:r>
        <w:rPr>
          <w:rStyle w:val="NormalTok"/>
        </w:rPr>
        <w:t xml:space="preserve"> out_labels))</w:t>
      </w:r>
    </w:p>
    <w:p>
      <w:pPr>
        <w:pStyle w:val="FirstParagraph"/>
      </w:pPr>
      <w:r>
        <w:t xml:space="preserve">Now we compute the mean daily duration spent in each of these outdoor light ranges (</w:t>
      </w:r>
      <w:hyperlink w:anchor="tbl-outdoor">
        <w:r>
          <w:rPr>
            <w:rStyle w:val="Hyperlink"/>
          </w:rPr>
          <w:t xml:space="preserve">Table 11</w:t>
        </w:r>
      </w:hyperlink>
      <w:r>
        <w:t xml:space="preserve">):</w:t>
      </w:r>
    </w:p>
    <w:p>
      <w:pPr>
        <w:pStyle w:val="SourceCode"/>
      </w:pPr>
      <w:r>
        <w:rPr>
          <w:rStyle w:val="NormalTok"/>
        </w:rPr>
        <w:t xml:space="preserve">dataVEET </w:t>
      </w:r>
      <w:r>
        <w:rPr>
          <w:rStyle w:val="SpecialCharTok"/>
        </w:rPr>
        <w:t xml:space="preserve">|&gt;</w:t>
      </w:r>
      <w:r>
        <w:rPr>
          <w:rStyle w:val="NormalTok"/>
        </w:rPr>
        <w:t xml:space="preserve"> </w:t>
      </w:r>
      <w:r>
        <w:br/>
      </w:r>
      <w:r>
        <w:rPr>
          <w:rStyle w:val="NormalTok"/>
        </w:rPr>
        <w:t xml:space="preserve">  </w:t>
      </w:r>
      <w:r>
        <w:rPr>
          <w:rStyle w:val="FunctionTok"/>
        </w:rPr>
        <w:t xml:space="preserve">drop_na</w:t>
      </w:r>
      <w:r>
        <w:rPr>
          <w:rStyle w:val="NormalTok"/>
        </w:rPr>
        <w:t xml:space="preserve">(Lux_range)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(Lux_range, </w:t>
      </w:r>
      <w:r>
        <w:rPr>
          <w:rStyle w:val="AttributeTok"/>
        </w:rPr>
        <w:t xml:space="preserve">.add =</w:t>
      </w:r>
      <w:r>
        <w:rPr>
          <w:rStyle w:val="NormalTok"/>
        </w:rPr>
        <w:t xml:space="preserve"> </w:t>
      </w:r>
      <w:r>
        <w:rPr>
          <w:rStyle w:val="ConstantTok"/>
        </w:rPr>
        <w:t xml:space="preserve">TRUE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durations</w:t>
      </w:r>
      <w:r>
        <w:rPr>
          <w:rStyle w:val="NormalTok"/>
        </w:rPr>
        <w:t xml:space="preserve">(Lux) </w:t>
      </w:r>
      <w:r>
        <w:rPr>
          <w:rStyle w:val="SpecialCharTok"/>
        </w:rPr>
        <w:t xml:space="preserve">|&gt;</w:t>
      </w:r>
      <w:r>
        <w:rPr>
          <w:rStyle w:val="NormalTok"/>
        </w:rPr>
        <w:t xml:space="preserve">                         </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Lux_range, </w:t>
      </w:r>
      <w:r>
        <w:rPr>
          <w:rStyle w:val="AttributeTok"/>
        </w:rPr>
        <w:t xml:space="preserve">values_from =</w:t>
      </w:r>
      <w:r>
        <w:rPr>
          <w:rStyle w:val="NormalTok"/>
        </w:rPr>
        <w:t xml:space="preserve"> duration) </w:t>
      </w:r>
      <w:r>
        <w:rPr>
          <w:rStyle w:val="SpecialCharTok"/>
        </w:rPr>
        <w:t xml:space="preserve">|&gt;</w:t>
      </w:r>
      <w:r>
        <w:rPr>
          <w:rStyle w:val="NormalTok"/>
        </w:rPr>
        <w:t xml:space="preserve"> </w:t>
      </w:r>
      <w:r>
        <w:br/>
      </w:r>
      <w:r>
        <w:rPr>
          <w:rStyle w:val="NormalTok"/>
        </w:rPr>
        <w:t xml:space="preserve">  </w:t>
      </w:r>
      <w:r>
        <w:rPr>
          <w:rStyle w:val="FunctionTok"/>
        </w:rPr>
        <w:t xml:space="preserve">to_mean_daily</w:t>
      </w:r>
      <w:r>
        <w:rPr>
          <w:rStyle w:val="NormalTok"/>
        </w:rPr>
        <w:t xml:space="preserve">(</w:t>
      </w:r>
      <w:r>
        <w:rPr>
          <w:rStyle w:val="StringTok"/>
        </w:rPr>
        <w:t xml:space="preserv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fmt_duration</w:t>
      </w:r>
      <w:r>
        <w:rPr>
          <w:rStyle w:val="NormalTok"/>
        </w:rPr>
        <w:t xml:space="preserve">(</w:t>
      </w:r>
      <w:r>
        <w:rPr>
          <w:rStyle w:val="AttributeTok"/>
        </w:rPr>
        <w:t xml:space="preserve">input_units =</w:t>
      </w:r>
      <w:r>
        <w:rPr>
          <w:rStyle w:val="NormalTok"/>
        </w:rPr>
        <w:t xml:space="preserve"> </w:t>
      </w:r>
      <w:r>
        <w:rPr>
          <w:rStyle w:val="StringTok"/>
        </w:rPr>
        <w:t xml:space="preserve">"seconds"</w:t>
      </w:r>
      <w:r>
        <w:rPr>
          <w:rStyle w:val="NormalTok"/>
        </w:rPr>
        <w:t xml:space="preserve">, </w:t>
      </w:r>
      <w:r>
        <w:rPr>
          <w:rStyle w:val="AttributeTok"/>
        </w:rPr>
        <w:t xml:space="preserve">output_units =</w:t>
      </w:r>
      <w:r>
        <w:rPr>
          <w:rStyle w:val="NormalTok"/>
        </w:rPr>
        <w:t xml:space="preserve"> </w:t>
      </w:r>
      <w:r>
        <w:rPr>
          <w:rStyle w:val="StringTok"/>
        </w:rPr>
        <w:t xml:space="preserve">"minutes"</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13" w:name="tbl-outdoor"/>
          <w:p>
            <w:pPr>
              <w:jc w:val="center"/>
            </w:pPr>
            <w:pPr>
              <w:jc w:val="left"/>
              <w:spacing w:before="200"/>
              <w:pStyle w:val="ImageCaption"/>
            </w:pPr>
            <w:r>
              <w:t xml:space="preserve">Table 11: Average daily duration in outdoor-equivalent light conditions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Date</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Indoor</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Outdoor bright</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Outdoor very bright</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Outdoor extremely bright</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VEET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daily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663m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688m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Weekend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602m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28m</w:t>
                  </w:r>
                </w:p>
              </w:tc>
            </w:tr>
          </w:tbl>
          <w:bookmarkEnd w:id="113"/>
        </w:tc>
      </w:tr>
    </w:tbl>
    <w:p>
      <w:pPr>
        <w:pStyle w:val="BodyText"/>
      </w:pPr>
      <w:r>
        <w:t xml:space="preserve">It is also informative to visualize when these high-light conditions occurred.</w:t>
      </w:r>
      <w:r>
        <w:t xml:space="preserve"> </w:t>
      </w:r>
      <w:hyperlink w:anchor="fig-outdoor">
        <w:r>
          <w:rPr>
            <w:rStyle w:val="Hyperlink"/>
          </w:rPr>
          <w:t xml:space="preserve">Figure 8</w:t>
        </w:r>
      </w:hyperlink>
      <w:r>
        <w:t xml:space="preserve"> </w:t>
      </w:r>
      <w:r>
        <w:t xml:space="preserve">shows a timeline plot with periods of outdoor-level illuminance highlighted in color. In this example, violet denotes ≥1000 lx, green ≥2000 lx, and yellow ≥3000 lx. Grey shading indicates nighttime (from civil dusk to dawn) for context.</w:t>
      </w:r>
    </w:p>
    <w:bookmarkStart w:id="114" w:name="annotated-cell-17"/>
    <w:p>
      <w:pPr>
        <w:pStyle w:val="SourceCode"/>
      </w:pPr>
      <w:r>
        <w:rPr>
          <w:rStyle w:val="NormalTok"/>
        </w:rPr>
        <w:t xml:space="preserve">dataVEET </w:t>
      </w:r>
      <w:r>
        <w:rPr>
          <w:rStyle w:val="SpecialCharTok"/>
        </w:rPr>
        <w:t xml:space="preserve">|&gt;</w:t>
      </w:r>
      <w:r>
        <w:rPr>
          <w:rStyle w:val="NormalTok"/>
        </w:rPr>
        <w:t xml:space="preserve"> </w:t>
      </w:r>
      <w:r>
        <w:br/>
      </w:r>
      <w:r>
        <w:rPr>
          <w:rStyle w:val="NormalTok"/>
        </w:rPr>
        <w:t xml:space="preserve">  </w:t>
      </w:r>
      <w:r>
        <w:rPr>
          <w:rStyle w:val="FunctionTok"/>
        </w:rPr>
        <w:t xml:space="preserve">aggregate_Datetime</w:t>
      </w:r>
      <w:r>
        <w:rPr>
          <w:rStyle w:val="NormalTok"/>
        </w:rPr>
        <w:t xml:space="preserve">(</w:t>
      </w:r>
      <w:r>
        <w:rPr>
          <w:rStyle w:val="StringTok"/>
        </w:rPr>
        <w:t xml:space="preserve">"2 mins"</w:t>
      </w:r>
      <w:r>
        <w:rPr>
          <w:rStyle w:val="NormalTok"/>
        </w:rPr>
        <w:t xml:space="preserve">, </w:t>
      </w:r>
      <w:r>
        <w:rPr>
          <w:rStyle w:val="AttributeTok"/>
        </w:rPr>
        <w:t xml:space="preserve">type =</w:t>
      </w:r>
      <w:r>
        <w:rPr>
          <w:rStyle w:val="NormalTok"/>
        </w:rPr>
        <w:t xml:space="preserve"> </w:t>
      </w:r>
      <w:r>
        <w:rPr>
          <w:rStyle w:val="StringTok"/>
        </w:rPr>
        <w:t xml:space="preserve">"floor"</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Lux_range =</w:t>
      </w:r>
      <w:r>
        <w:rPr>
          <w:rStyle w:val="NormalTok"/>
        </w:rPr>
        <w:t xml:space="preserve"> </w:t>
      </w:r>
      <w:r>
        <w:rPr>
          <w:rStyle w:val="FunctionTok"/>
        </w:rPr>
        <w:t xml:space="preserve">na_if</w:t>
      </w:r>
      <w:r>
        <w:rPr>
          <w:rStyle w:val="NormalTok"/>
        </w:rPr>
        <w:t xml:space="preserve">(Lux_range, </w:t>
      </w:r>
      <w:r>
        <w:rPr>
          <w:rStyle w:val="StringTok"/>
        </w:rPr>
        <w:t xml:space="preserve">"Indoor"</w:t>
      </w:r>
      <w:r>
        <w:rPr>
          <w:rStyle w:val="NormalTok"/>
        </w:rPr>
        <w:t xml:space="preserve">)) </w:t>
      </w:r>
      <w:r>
        <w:rPr>
          <w:rStyle w:val="SpecialCharTok"/>
        </w:rPr>
        <w:t xml:space="preserve">|&gt;</w:t>
      </w:r>
      <w:r>
        <w:br/>
      </w:r>
      <w:r>
        <w:rPr>
          <w:rStyle w:val="NormalTok"/>
        </w:rPr>
        <w:t xml:space="preserve">  </w:t>
      </w:r>
      <w:r>
        <w:rPr>
          <w:rStyle w:val="FunctionTok"/>
        </w:rPr>
        <w:t xml:space="preserve">gg_day</w:t>
      </w:r>
      <w:r>
        <w:rPr>
          <w:rStyle w:val="NormalTok"/>
        </w:rPr>
        <w:t xml:space="preserve">(</w:t>
      </w:r>
      <w:r>
        <w:rPr>
          <w:rStyle w:val="AttributeTok"/>
        </w:rPr>
        <w:t xml:space="preserve">y.axis =</w:t>
      </w:r>
      <w:r>
        <w:rPr>
          <w:rStyle w:val="NormalTok"/>
        </w:rPr>
        <w:t xml:space="preserve"> Lux,</w:t>
      </w:r>
      <w:r>
        <w:br/>
      </w:r>
      <w:r>
        <w:rPr>
          <w:rStyle w:val="NormalTok"/>
        </w:rPr>
        <w:t xml:space="preserve">         </w:t>
      </w:r>
      <w:r>
        <w:rPr>
          <w:rStyle w:val="AttributeTok"/>
        </w:rPr>
        <w:t xml:space="preserve">y.axis.label =</w:t>
      </w:r>
      <w:r>
        <w:rPr>
          <w:rStyle w:val="NormalTok"/>
        </w:rPr>
        <w:t xml:space="preserve"> </w:t>
      </w:r>
      <w:r>
        <w:rPr>
          <w:rStyle w:val="StringTok"/>
        </w:rPr>
        <w:t xml:space="preserve">"Photopic illuminance (lx)"</w:t>
      </w:r>
      <w:r>
        <w:rPr>
          <w:rStyle w:val="NormalTok"/>
        </w:rPr>
        <w:t xml:space="preserve">,</w:t>
      </w:r>
      <w:r>
        <w:br/>
      </w:r>
      <w:r>
        <w:rPr>
          <w:rStyle w:val="NormalTok"/>
        </w:rPr>
        <w:t xml:space="preserve">         </w:t>
      </w:r>
      <w:r>
        <w:rPr>
          <w:rStyle w:val="AttributeTok"/>
        </w:rPr>
        <w:t xml:space="preserve">geom =</w:t>
      </w:r>
      <w:r>
        <w:rPr>
          <w:rStyle w:val="NormalTok"/>
        </w:rPr>
        <w:t xml:space="preserve"> </w:t>
      </w:r>
      <w:r>
        <w:rPr>
          <w:rStyle w:val="StringTok"/>
        </w:rPr>
        <w:t xml:space="preserve">"line"</w:t>
      </w:r>
      <w:r>
        <w:rPr>
          <w:rStyle w:val="NormalTok"/>
        </w:rPr>
        <w:t xml:space="preserve">,</w:t>
      </w:r>
      <w:r>
        <w:br/>
      </w:r>
      <w:r>
        <w:rPr>
          <w:rStyle w:val="NormalTok"/>
        </w:rPr>
        <w:t xml:space="preserve">         </w:t>
      </w:r>
      <w:r>
        <w:rPr>
          <w:rStyle w:val="AttributeTok"/>
        </w:rPr>
        <w:t xml:space="preserve">jco_color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gg_state</w:t>
      </w:r>
      <w:r>
        <w:rPr>
          <w:rStyle w:val="NormalTok"/>
        </w:rPr>
        <w:t xml:space="preserve">(Lux_range, </w:t>
      </w:r>
      <w:r>
        <w:rPr>
          <w:rStyle w:val="AttributeTok"/>
        </w:rPr>
        <w:t xml:space="preserve">aes_fill =</w:t>
      </w:r>
      <w:r>
        <w:rPr>
          <w:rStyle w:val="NormalTok"/>
        </w:rPr>
        <w:t xml:space="preserve"> Lux_range,</w:t>
      </w:r>
      <w:r>
        <w:br/>
      </w:r>
      <w:r>
        <w:rPr>
          <w:rStyle w:val="NormalTok"/>
        </w:rPr>
        <w:t xml:space="preserve">           </w:t>
      </w:r>
      <w:r>
        <w:rPr>
          <w:rStyle w:val="AttributeTok"/>
        </w:rPr>
        <w:t xml:space="preserve">alpha =</w:t>
      </w:r>
      <w:r>
        <w:rPr>
          <w:rStyle w:val="NormalTok"/>
        </w:rPr>
        <w:t xml:space="preserve"> </w:t>
      </w:r>
      <w:r>
        <w:rPr>
          <w:rStyle w:val="FloatTok"/>
        </w:rPr>
        <w:t xml:space="preserve">0.75</w:t>
      </w:r>
      <w:r>
        <w:rPr>
          <w:rStyle w:val="NormalTok"/>
        </w:rPr>
        <w:t xml:space="preserve">, </w:t>
      </w:r>
      <w:r>
        <w:rPr>
          <w:rStyle w:val="AttributeTok"/>
        </w:rPr>
        <w:t xml:space="preserve">ymin =</w:t>
      </w:r>
      <w:r>
        <w:rPr>
          <w:rStyle w:val="NormalTok"/>
        </w:rPr>
        <w:t xml:space="preserve"> </w:t>
      </w:r>
      <w:r>
        <w:rPr>
          <w:rStyle w:val="DecValTok"/>
        </w:rPr>
        <w:t xml:space="preserve">10</w:t>
      </w:r>
      <w:r>
        <w:rPr>
          <w:rStyle w:val="SpecialCharTok"/>
        </w:rPr>
        <w:t xml:space="preserve">^</w:t>
      </w:r>
      <w:r>
        <w:rPr>
          <w:rStyle w:val="DecValTok"/>
        </w:rPr>
        <w:t xml:space="preserve">3</w:t>
      </w:r>
      <w:r>
        <w:rPr>
          <w:rStyle w:val="NormalTok"/>
        </w:rPr>
        <w:t xml:space="preserve">, </w:t>
      </w:r>
      <w:r>
        <w:rPr>
          <w:rStyle w:val="AttributeTok"/>
        </w:rPr>
        <w:t xml:space="preserve">ymax =</w:t>
      </w:r>
      <w:r>
        <w:rPr>
          <w:rStyle w:val="NormalTok"/>
        </w:rPr>
        <w:t xml:space="preserve"> </w:t>
      </w:r>
      <w:r>
        <w:rPr>
          <w:rStyle w:val="DecValTok"/>
        </w:rPr>
        <w:t xml:space="preserve">10</w:t>
      </w:r>
      <w:r>
        <w:rPr>
          <w:rStyle w:val="SpecialCharTok"/>
        </w:rPr>
        <w:t xml:space="preserve">^</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scale_fill_viridis_d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fill =</w:t>
      </w:r>
      <w:r>
        <w:rPr>
          <w:rStyle w:val="NormalTok"/>
        </w:rPr>
        <w:t xml:space="preserve"> </w:t>
      </w:r>
      <w:r>
        <w:rPr>
          <w:rStyle w:val="StringTok"/>
        </w:rPr>
        <w:t xml:space="preserve">"Illuminance range"</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xlim =</w:t>
      </w:r>
      <w:r>
        <w:rPr>
          <w:rStyle w:val="NormalTok"/>
        </w:rPr>
        <w:t xml:space="preserve"> </w:t>
      </w:r>
      <w:r>
        <w:rPr>
          <w:rStyle w:val="FunctionTok"/>
        </w:rPr>
        <w:t xml:space="preserve">c</w:t>
      </w:r>
      <w:r>
        <w:rPr>
          <w:rStyle w:val="NormalTok"/>
        </w:rPr>
        <w:t xml:space="preserve">(</w:t>
      </w:r>
      <w:r>
        <w:rPr>
          <w:rStyle w:val="DecValTok"/>
        </w:rPr>
        <w:t xml:space="preserve">8</w:t>
      </w:r>
      <w:r>
        <w:rPr>
          <w:rStyle w:val="NormalTok"/>
        </w:rPr>
        <w:t xml:space="preserve">, </w:t>
      </w:r>
      <w:r>
        <w:rPr>
          <w:rStyle w:val="FloatTok"/>
        </w:rPr>
        <w:t xml:space="preserve">19.5</w:t>
      </w:r>
      <w:r>
        <w:rPr>
          <w:rStyle w:val="NormalTok"/>
        </w:rPr>
        <w:t xml:space="preserve">)</w:t>
      </w:r>
      <w:r>
        <w:rPr>
          <w:rStyle w:val="SpecialCharTok"/>
        </w:rPr>
        <w:t xml:space="preserve">*</w:t>
      </w:r>
      <w:r>
        <w:rPr>
          <w:rStyle w:val="DecValTok"/>
        </w:rPr>
        <w:t xml:space="preserve">3600</w:t>
      </w:r>
      <w:r>
        <w:rPr>
          <w:rStyle w:val="NormalTok"/>
        </w:rPr>
        <w:t xml:space="preserve">)</w:t>
      </w:r>
    </w:p>
    <w:bookmarkEnd w:id="114"/>
    <w:p>
      <w:pPr>
        <w:pStyle w:val="DefinitionTerm"/>
      </w:pPr>
      <w:r>
        <w:t xml:space="preserve">Line 2</w:t>
      </w:r>
    </w:p>
    <w:p>
      <w:pPr>
        <w:pStyle w:val="Definition"/>
      </w:pPr>
      <w:r>
        <w:t xml:space="preserve">Aggregating data to 5-minute bins</w:t>
      </w:r>
    </w:p>
    <w:p>
      <w:pPr>
        <w:pStyle w:val="DefinitionTerm"/>
      </w:pPr>
      <w:r>
        <w:t xml:space="preserve">Line 3</w:t>
      </w:r>
    </w:p>
    <w:p>
      <w:pPr>
        <w:pStyle w:val="Definition"/>
      </w:pPr>
      <w:r>
        <w:t xml:space="preserve">Removing the indoor condition</w:t>
      </w:r>
    </w:p>
    <w:p>
      <w:pPr>
        <w:pStyle w:val="DefinitionTerm"/>
      </w:pPr>
      <w:r>
        <w:t xml:space="preserve">Lines 4-7</w:t>
      </w:r>
    </w:p>
    <w:p>
      <w:pPr>
        <w:pStyle w:val="Definition"/>
      </w:pPr>
      <w:r>
        <w:t xml:space="preserve">Setting up the basic plot</w:t>
      </w:r>
    </w:p>
    <w:p>
      <w:pPr>
        <w:pStyle w:val="DefinitionTerm"/>
      </w:pPr>
      <w:r>
        <w:t xml:space="preserve">Lines 8-9</w:t>
      </w:r>
    </w:p>
    <w:p>
      <w:pPr>
        <w:pStyle w:val="Definition"/>
      </w:pPr>
      <w:r>
        <w:t xml:space="preserve">Adding state information on the illuminance ranges</w:t>
      </w:r>
    </w:p>
    <w:p>
      <w:pPr>
        <w:pStyle w:val="DefinitionTerm"/>
      </w:pPr>
      <w:r>
        <w:t xml:space="preserve">Line 13</w:t>
      </w:r>
    </w:p>
    <w:p>
      <w:pPr>
        <w:pStyle w:val="Definition"/>
      </w:pPr>
      <w:r>
        <w:t xml:space="preserve">Setting the x-axis limits to cover daytime hours</w:t>
      </w:r>
    </w:p>
    <w:tbl>
      <w:tblPr>
        <w:tblStyle w:val="Table"/>
        <w:tblW w:type="pct" w:w="5000"/>
        <w:tblLayout w:type="fixed"/>
        <w:tblLook w:firstRow="0" w:lastRow="0" w:firstColumn="0" w:lastColumn="0" w:noHBand="0" w:noVBand="0" w:val="0000"/>
      </w:tblPr>
      <w:tblGrid>
        <w:gridCol w:w="7920"/>
      </w:tblGrid>
      <w:tr>
        <w:tc>
          <w:tcPr/>
          <w:bookmarkStart w:id="118" w:name="fig-outdoor"/>
          <w:p>
            <w:pPr>
              <w:pStyle w:val="Compact"/>
              <w:jc w:val="center"/>
            </w:pPr>
            <w:r>
              <w:drawing>
                <wp:inline>
                  <wp:extent cx="5334000" cy="4741333"/>
                  <wp:effectExtent b="0" l="0" r="0" t="0"/>
                  <wp:docPr descr="" title="" id="116" name="Picture"/>
                  <a:graphic>
                    <a:graphicData uri="http://schemas.openxmlformats.org/drawingml/2006/picture">
                      <pic:pic>
                        <pic:nvPicPr>
                          <pic:cNvPr descr="index_files/figure-docx/fig-outdoor-1.png" id="117" name="Picture"/>
                          <pic:cNvPicPr>
                            <a:picLocks noChangeArrowheads="1" noChangeAspect="1"/>
                          </pic:cNvPicPr>
                        </pic:nvPicPr>
                        <pic:blipFill>
                          <a:blip r:embed="rId115"/>
                          <a:stretch>
                            <a:fillRect/>
                          </a:stretch>
                        </pic:blipFill>
                        <pic:spPr bwMode="auto">
                          <a:xfrm>
                            <a:off x="0" y="0"/>
                            <a:ext cx="5334000" cy="4741333"/>
                          </a:xfrm>
                          <a:prstGeom prst="rect">
                            <a:avLst/>
                          </a:prstGeom>
                          <a:noFill/>
                          <a:ln w="9525">
                            <a:noFill/>
                            <a:headEnd/>
                            <a:tailEnd/>
                          </a:ln>
                        </pic:spPr>
                      </pic:pic>
                    </a:graphicData>
                  </a:graphic>
                </wp:inline>
              </w:drawing>
            </w:r>
          </w:p>
          <w:p>
            <w:pPr>
              <w:jc w:val="center"/>
            </w:pPr>
            <w:pPr>
              <w:jc w:val="left"/>
              <w:spacing w:before="200"/>
              <w:pStyle w:val="ImageCaption"/>
            </w:pPr>
            <w:r>
              <w:t xml:space="preserve">Figure 8: Outdoor light exposure over time. Colored bands indicate periods when illuminance exceeded outdoor thresholds: violet for ≥1000 lx, green for ≥2000 lx, and yellow for ≥3000 lx. Grey shaded regions denote night (from civil dusk to dawn).</w:t>
            </w:r>
          </w:p>
          <w:bookmarkEnd w:id="118"/>
        </w:tc>
      </w:tr>
    </w:tbl>
    <w:bookmarkEnd w:id="119"/>
    <w:bookmarkStart w:id="123" w:name="Xe956c63c688b119a4f591fc9aa43a2e7ac8102b"/>
    <w:p>
      <w:pPr>
        <w:pStyle w:val="Heading4"/>
      </w:pPr>
      <w:r>
        <w:t xml:space="preserve">Frequency of transitions from indoor to outdoor light</w:t>
      </w:r>
    </w:p>
    <w:p>
      <w:pPr>
        <w:pStyle w:val="FirstParagraph"/>
      </w:pPr>
      <w:r>
        <w:t xml:space="preserve">We next consider how often the subject moved from an indoor light environment to an outdoor-equivalent environment. We operationally define an</w:t>
      </w:r>
      <w:r>
        <w:t xml:space="preserve"> </w:t>
      </w:r>
      <w:r>
        <w:t xml:space="preserve">“outdoor transition”</w:t>
      </w:r>
      <w:r>
        <w:t xml:space="preserve"> </w:t>
      </w:r>
      <w:r>
        <w:t xml:space="preserve">as a change from &lt;1000 lx to ≥1000 lx. Using the cleaned</w:t>
      </w:r>
      <w:r>
        <w:t xml:space="preserve"> </w:t>
      </w:r>
      <w:r>
        <w:rPr>
          <w:rStyle w:val="VerbatimChar"/>
        </w:rPr>
        <w:t xml:space="preserve">VEET</w:t>
      </w:r>
      <w:r>
        <w:t xml:space="preserve"> </w:t>
      </w:r>
      <w:r>
        <w:t xml:space="preserve">data, we extract all instances where illuminance crosses that threshold from below to above.</w:t>
      </w:r>
    </w:p>
    <w:p>
      <w:pPr>
        <w:pStyle w:val="BodyText"/>
      </w:pPr>
      <w:hyperlink w:anchor="tbl-changesoutdoor">
        <w:r>
          <w:rPr>
            <w:rStyle w:val="Hyperlink"/>
          </w:rPr>
          <w:t xml:space="preserve">Table 12</w:t>
        </w:r>
      </w:hyperlink>
      <w:r>
        <w:t xml:space="preserve"> </w:t>
      </w:r>
      <w:r>
        <w:t xml:space="preserve">shows the average number of such transitions per day. Note that if data are recorded at a fine temporal resolution (5 s here), very brief excursions above 1000 lx could count as transitions and inflate this number. Indeed, the initial count is fairly high, reflecting fleeting spikes above 1000 lx that might not represent meaningful outdoor exposures.</w:t>
      </w:r>
    </w:p>
    <w:bookmarkStart w:id="120" w:name="annotated-cell-18"/>
    <w:p>
      <w:pPr>
        <w:pStyle w:val="SourceCode"/>
      </w:pPr>
      <w:r>
        <w:rPr>
          <w:rStyle w:val="NormalTok"/>
        </w:rPr>
        <w:t xml:space="preserve">dataVEET </w:t>
      </w:r>
      <w:r>
        <w:rPr>
          <w:rStyle w:val="SpecialCharTok"/>
        </w:rPr>
        <w:t xml:space="preserve">|&gt;</w:t>
      </w:r>
      <w:r>
        <w:rPr>
          <w:rStyle w:val="NormalTok"/>
        </w:rPr>
        <w:t xml:space="preserve"> </w:t>
      </w:r>
      <w:r>
        <w:br/>
      </w:r>
      <w:r>
        <w:rPr>
          <w:rStyle w:val="NormalTok"/>
        </w:rPr>
        <w:t xml:space="preserve">  </w:t>
      </w:r>
      <w:r>
        <w:rPr>
          <w:rStyle w:val="FunctionTok"/>
        </w:rPr>
        <w:t xml:space="preserve">extract_states</w:t>
      </w:r>
      <w:r>
        <w:rPr>
          <w:rStyle w:val="NormalTok"/>
        </w:rPr>
        <w:t xml:space="preserve">(Outdoor, Lux </w:t>
      </w:r>
      <w:r>
        <w:rPr>
          <w:rStyle w:val="SpecialCharTok"/>
        </w:rPr>
        <w:t xml:space="preserve">&gt;=</w:t>
      </w:r>
      <w:r>
        <w:rPr>
          <w:rStyle w:val="NormalTok"/>
        </w:rPr>
        <w:t xml:space="preserve"> </w:t>
      </w:r>
      <w:r>
        <w:rPr>
          <w:rStyle w:val="DecValTok"/>
        </w:rPr>
        <w:t xml:space="preserve">1000</w:t>
      </w:r>
      <w:r>
        <w:rPr>
          <w:rStyle w:val="NormalTok"/>
        </w:rPr>
        <w:t xml:space="preserve">, </w:t>
      </w:r>
      <w:r>
        <w:rPr>
          <w:rStyle w:val="AttributeTok"/>
        </w:rPr>
        <w:t xml:space="preserve">group.by.state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lead</w:t>
      </w:r>
      <w:r>
        <w:rPr>
          <w:rStyle w:val="NormalTok"/>
        </w:rPr>
        <w:t xml:space="preserve">(Outdoor) </w:t>
      </w:r>
      <w:r>
        <w:rPr>
          <w:rStyle w:val="SpecialCharTok"/>
        </w:rPr>
        <w:t xml:space="preserve">&amp;</w:t>
      </w:r>
      <w:r>
        <w:rPr>
          <w:rStyle w:val="NormalTok"/>
        </w:rPr>
        <w:t xml:space="preserve"> Outdoor) </w:t>
      </w:r>
      <w:r>
        <w:rPr>
          <w:rStyle w:val="SpecialCharTok"/>
        </w:rPr>
        <w:t xml:space="preserve">|&gt;</w:t>
      </w:r>
      <w:r>
        <w:br/>
      </w:r>
      <w:r>
        <w:rPr>
          <w:rStyle w:val="NormalTok"/>
        </w:rPr>
        <w:t xml:space="preserve">  </w:t>
      </w:r>
      <w:r>
        <w:rPr>
          <w:rStyle w:val="FunctionTok"/>
        </w:rPr>
        <w:t xml:space="preserve">summarize_numeric</w:t>
      </w:r>
      <w:r>
        <w:rPr>
          <w:rStyle w:val="NormalTok"/>
        </w:rPr>
        <w:t xml:space="preserve">(</w:t>
      </w:r>
      <w:r>
        <w:rPr>
          <w:rStyle w:val="AttributeTok"/>
        </w:rPr>
        <w:t xml:space="preserve">prefix =</w:t>
      </w:r>
      <w:r>
        <w:rPr>
          <w:rStyle w:val="NormalTok"/>
        </w:rPr>
        <w:t xml:space="preserve"> </w:t>
      </w:r>
      <w:r>
        <w:rPr>
          <w:rStyle w:val="StringTok"/>
        </w:rPr>
        <w:t xml:space="preserve">"mean "</w:t>
      </w:r>
      <w:r>
        <w:rPr>
          <w:rStyle w:val="NormalTok"/>
        </w:rPr>
        <w:t xml:space="preserve">,</w:t>
      </w:r>
      <w:r>
        <w:br/>
      </w:r>
      <w:r>
        <w:rPr>
          <w:rStyle w:val="NormalTok"/>
        </w:rPr>
        <w:t xml:space="preserve">    </w:t>
      </w:r>
      <w:r>
        <w:rPr>
          <w:rStyle w:val="AttributeTok"/>
        </w:rPr>
        <w:t xml:space="preserve">remove =</w:t>
      </w:r>
      <w:r>
        <w:rPr>
          <w:rStyle w:val="NormalTok"/>
        </w:rPr>
        <w:t xml:space="preserve"> </w:t>
      </w:r>
      <w:r>
        <w:rPr>
          <w:rStyle w:val="FunctionTok"/>
        </w:rPr>
        <w:t xml:space="preserve">c</w:t>
      </w:r>
      <w:r>
        <w:rPr>
          <w:rStyle w:val="NormalTok"/>
        </w:rPr>
        <w:t xml:space="preserve">(</w:t>
      </w:r>
      <w:r>
        <w:rPr>
          <w:rStyle w:val="StringTok"/>
        </w:rPr>
        <w:t xml:space="preserve">"Datetime"</w:t>
      </w:r>
      <w:r>
        <w:rPr>
          <w:rStyle w:val="NormalTok"/>
        </w:rPr>
        <w:t xml:space="preserve">, </w:t>
      </w:r>
      <w:r>
        <w:rPr>
          <w:rStyle w:val="StringTok"/>
        </w:rPr>
        <w:t xml:space="preserve">"Outdoor"</w:t>
      </w:r>
      <w:r>
        <w:rPr>
          <w:rStyle w:val="NormalTok"/>
        </w:rPr>
        <w:t xml:space="preserve">, </w:t>
      </w:r>
      <w:r>
        <w:rPr>
          <w:rStyle w:val="StringTok"/>
        </w:rPr>
        <w:t xml:space="preserve">"start"</w:t>
      </w:r>
      <w:r>
        <w:rPr>
          <w:rStyle w:val="NormalTok"/>
        </w:rPr>
        <w:t xml:space="preserve">, </w:t>
      </w:r>
      <w:r>
        <w:rPr>
          <w:rStyle w:val="StringTok"/>
        </w:rPr>
        <w:t xml:space="preserve">"end"</w:t>
      </w:r>
      <w:r>
        <w:rPr>
          <w:rStyle w:val="NormalTok"/>
        </w:rPr>
        <w:t xml:space="preserve">, </w:t>
      </w:r>
      <w:r>
        <w:rPr>
          <w:rStyle w:val="StringTok"/>
        </w:rPr>
        <w:t xml:space="preserve">"duration"</w:t>
      </w:r>
      <w:r>
        <w:rPr>
          <w:rStyle w:val="NormalTok"/>
        </w:rPr>
        <w:t xml:space="preserve">),</w:t>
      </w:r>
      <w:r>
        <w:br/>
      </w:r>
      <w:r>
        <w:rPr>
          <w:rStyle w:val="NormalTok"/>
        </w:rPr>
        <w:t xml:space="preserve">    </w:t>
      </w:r>
      <w:r>
        <w:rPr>
          <w:rStyle w:val="AttributeTok"/>
        </w:rPr>
        <w:t xml:space="preserve">add.total.duration =</w:t>
      </w:r>
      <w:r>
        <w:rPr>
          <w:rStyle w:val="NormalTok"/>
        </w:rPr>
        <w:t xml:space="preserve"> </w:t>
      </w:r>
      <w:r>
        <w:rPr>
          <w:rStyle w:val="ConstantTok"/>
        </w:rPr>
        <w:t xml:space="preserve">FALSE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mean_daily</w:t>
      </w:r>
      <w:r>
        <w:rPr>
          <w:rStyle w:val="NormalTok"/>
        </w:rPr>
        <w:t xml:space="preserve">(</w:t>
      </w:r>
      <w:r>
        <w:rPr>
          <w:rStyle w:val="AttributeTok"/>
        </w:rPr>
        <w:t xml:space="preserve">prefix =</w:t>
      </w:r>
      <w:r>
        <w:rPr>
          <w:rStyle w:val="NormalTok"/>
        </w:rPr>
        <w:t xml:space="preserve"> </w:t>
      </w:r>
      <w:r>
        <w:rPr>
          <w:rStyle w:val="StringTok"/>
        </w:rPr>
        <w:t xml:space="preserv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fmt_number</w:t>
      </w:r>
      <w:r>
        <w:rPr>
          <w:rStyle w:val="NormalTok"/>
        </w:rPr>
        <w:t xml:space="preserve">(episodes, </w:t>
      </w:r>
      <w:r>
        <w:rPr>
          <w:rStyle w:val="AttributeTok"/>
        </w:rPr>
        <w:t xml:space="preserve">decimals =</w:t>
      </w:r>
      <w:r>
        <w:rPr>
          <w:rStyle w:val="NormalTok"/>
        </w:rPr>
        <w:t xml:space="preserve"> </w:t>
      </w:r>
      <w:r>
        <w:rPr>
          <w:rStyle w:val="DecValTok"/>
        </w:rPr>
        <w:t xml:space="preserve">0</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fmt_duration</w:t>
      </w:r>
      <w:r>
        <w:rPr>
          <w:rStyle w:val="NormalTok"/>
        </w:rPr>
        <w:t xml:space="preserve">(</w:t>
      </w:r>
      <w:r>
        <w:rPr>
          <w:rStyle w:val="StringTok"/>
        </w:rPr>
        <w:t xml:space="preserve">`</w:t>
      </w:r>
      <w:r>
        <w:rPr>
          <w:rStyle w:val="AttributeTok"/>
        </w:rPr>
        <w:t xml:space="preserve">mean epoch</w:t>
      </w:r>
      <w:r>
        <w:rPr>
          <w:rStyle w:val="StringTok"/>
        </w:rPr>
        <w:t xml:space="preserve">`</w:t>
      </w:r>
      <w:r>
        <w:rPr>
          <w:rStyle w:val="NormalTok"/>
        </w:rPr>
        <w:t xml:space="preserve">, </w:t>
      </w:r>
      <w:r>
        <w:rPr>
          <w:rStyle w:val="AttributeTok"/>
        </w:rPr>
        <w:t xml:space="preserve">input_units =</w:t>
      </w:r>
      <w:r>
        <w:rPr>
          <w:rStyle w:val="NormalTok"/>
        </w:rPr>
        <w:t xml:space="preserve"> </w:t>
      </w:r>
      <w:r>
        <w:rPr>
          <w:rStyle w:val="StringTok"/>
        </w:rPr>
        <w:t xml:space="preserve">"seconds"</w:t>
      </w:r>
      <w:r>
        <w:rPr>
          <w:rStyle w:val="NormalTok"/>
        </w:rPr>
        <w:t xml:space="preserve">, </w:t>
      </w:r>
      <w:r>
        <w:rPr>
          <w:rStyle w:val="AttributeTok"/>
        </w:rPr>
        <w:t xml:space="preserve">output_units =</w:t>
      </w:r>
      <w:r>
        <w:rPr>
          <w:rStyle w:val="NormalTok"/>
        </w:rPr>
        <w:t xml:space="preserve"> </w:t>
      </w:r>
      <w:r>
        <w:rPr>
          <w:rStyle w:val="StringTok"/>
        </w:rPr>
        <w:t xml:space="preserve">"seconds"</w:t>
      </w:r>
      <w:r>
        <w:rPr>
          <w:rStyle w:val="NormalTok"/>
        </w:rPr>
        <w:t xml:space="preserve">)</w:t>
      </w:r>
    </w:p>
    <w:bookmarkEnd w:id="120"/>
    <w:p>
      <w:pPr>
        <w:pStyle w:val="DefinitionTerm"/>
      </w:pPr>
      <w:r>
        <w:t xml:space="preserve">Line 2</w:t>
      </w:r>
    </w:p>
    <w:p>
      <w:pPr>
        <w:pStyle w:val="Definition"/>
      </w:pPr>
      <w:r>
        <w:t xml:space="preserve">Label each interval as Outdoor (Lux≥1000) or not</w:t>
      </w:r>
    </w:p>
    <w:p>
      <w:pPr>
        <w:pStyle w:val="DefinitionTerm"/>
      </w:pPr>
      <w:r>
        <w:t xml:space="preserve">Line 3</w:t>
      </w:r>
    </w:p>
    <w:p>
      <w:pPr>
        <w:pStyle w:val="Definition"/>
      </w:pPr>
      <w:r>
        <w:t xml:space="preserve">Find instances where the previous interval was</w:t>
      </w:r>
      <w:r>
        <w:t xml:space="preserve"> </w:t>
      </w:r>
      <w:r>
        <w:t xml:space="preserve">“indoor”</w:t>
      </w:r>
      <w:r>
        <w:t xml:space="preserve"> </w:t>
      </w:r>
      <w:r>
        <w:t xml:space="preserve">and current is</w:t>
      </w:r>
      <w:r>
        <w:t xml:space="preserve"> </w:t>
      </w:r>
      <w:r>
        <w:t xml:space="preserve">“outdoor”</w:t>
      </w:r>
    </w:p>
    <w:tbl>
      <w:tblPr>
        <w:tblStyle w:val="Table"/>
        <w:tblW w:type="pct" w:w="5000"/>
        <w:tblLayout w:type="fixed"/>
        <w:tblLook w:firstRow="0" w:lastRow="0" w:firstColumn="0" w:lastColumn="0" w:noHBand="0" w:noVBand="0" w:val="0000"/>
      </w:tblPr>
      <w:tblGrid>
        <w:gridCol w:w="7920"/>
      </w:tblGrid>
      <w:tr>
        <w:tc>
          <w:tcPr/>
          <w:bookmarkStart w:id="121" w:name="tbl-changesoutdoor"/>
          <w:p>
            <w:pPr>
              <w:jc w:val="center"/>
            </w:pPr>
            <w:pPr>
              <w:jc w:val="left"/>
              <w:spacing w:before="200"/>
              <w:pStyle w:val="ImageCaption"/>
            </w:pPr>
            <w:r>
              <w:t xml:space="preserve">Table 12: Average daily count of transitions from indoor (&lt;1000 lx) to outdoor (≥1000 lx) lighting when looking at 5-second epochs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Date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mean epoch</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episodes</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3"/>
                </w:tcPr>
                <w:p>
                  <w:pPr>
                    <w:spacing w:before="0" w:after="60"/>
                    <w:keepNext/>
                  </w:pPr>
                  <w:r>
                    <w:rPr>
                      <w:rFonts w:ascii="Calibri" w:hAnsi="Calibri"/>
                      <w:sz w:val="20"/>
                    </w:rPr>
                    <w:t xml:space="default">VEET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daily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Weekday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Weekend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w:t>
                  </w:r>
                </w:p>
              </w:tc>
            </w:tr>
          </w:tbl>
          <w:bookmarkEnd w:id="121"/>
        </w:tc>
      </w:tr>
    </w:tbl>
    <w:p>
      <w:pPr>
        <w:pStyle w:val="BodyText"/>
      </w:pPr>
      <w:r>
        <w:t xml:space="preserve">To obtain a more meaningful measure, we can require that the outdoor state persists for some minimum duration to count as a true transition (filtering out momentary fluctuations around the 1000 lx mark). For example, we can require that once ≥1000 lx is reached, it continues for at least 5 minutes (allowing short interruptions up to 20 s).</w:t>
      </w:r>
      <w:r>
        <w:t xml:space="preserve"> </w:t>
      </w:r>
      <w:hyperlink w:anchor="tbl-changesoutdoor2">
        <w:r>
          <w:rPr>
            <w:rStyle w:val="Hyperlink"/>
          </w:rPr>
          <w:t xml:space="preserve">Table 13</w:t>
        </w:r>
      </w:hyperlink>
      <w:r>
        <w:t xml:space="preserve"> </w:t>
      </w:r>
      <w:r>
        <w:t xml:space="preserve">applies this criterion, resulting in a lower, more plausible transition count.</w:t>
      </w:r>
    </w:p>
    <w:p>
      <w:pPr>
        <w:pStyle w:val="SourceCode"/>
      </w:pPr>
      <w:r>
        <w:rPr>
          <w:rStyle w:val="NormalTok"/>
        </w:rPr>
        <w:t xml:space="preserve">dataVEET </w:t>
      </w:r>
      <w:r>
        <w:rPr>
          <w:rStyle w:val="SpecialCharTok"/>
        </w:rPr>
        <w:t xml:space="preserve">|&gt;</w:t>
      </w:r>
      <w:r>
        <w:rPr>
          <w:rStyle w:val="NormalTok"/>
        </w:rPr>
        <w:t xml:space="preserve"> </w:t>
      </w:r>
      <w:r>
        <w:br/>
      </w:r>
      <w:r>
        <w:rPr>
          <w:rStyle w:val="NormalTok"/>
        </w:rPr>
        <w:t xml:space="preserve">  </w:t>
      </w:r>
      <w:r>
        <w:rPr>
          <w:rStyle w:val="FunctionTok"/>
        </w:rPr>
        <w:t xml:space="preserve">extract_clusters</w:t>
      </w:r>
      <w:r>
        <w:rPr>
          <w:rStyle w:val="NormalTok"/>
        </w:rPr>
        <w:t xml:space="preserve">(Lux </w:t>
      </w:r>
      <w:r>
        <w:rPr>
          <w:rStyle w:val="SpecialCharTok"/>
        </w:rPr>
        <w:t xml:space="preserve">&gt;=</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cluster.duration =</w:t>
      </w:r>
      <w:r>
        <w:rPr>
          <w:rStyle w:val="NormalTok"/>
        </w:rPr>
        <w:t xml:space="preserve"> </w:t>
      </w:r>
      <w:r>
        <w:rPr>
          <w:rStyle w:val="StringTok"/>
        </w:rPr>
        <w:t xml:space="preserve">"5 min"</w:t>
      </w:r>
      <w:r>
        <w:rPr>
          <w:rStyle w:val="NormalTok"/>
        </w:rPr>
        <w:t xml:space="preserve">, </w:t>
      </w:r>
      <w:r>
        <w:br/>
      </w:r>
      <w:r>
        <w:rPr>
          <w:rStyle w:val="NormalTok"/>
        </w:rPr>
        <w:t xml:space="preserve">                   </w:t>
      </w:r>
      <w:r>
        <w:rPr>
          <w:rStyle w:val="AttributeTok"/>
        </w:rPr>
        <w:t xml:space="preserve">interruption.duration =</w:t>
      </w:r>
      <w:r>
        <w:rPr>
          <w:rStyle w:val="NormalTok"/>
        </w:rPr>
        <w:t xml:space="preserve"> </w:t>
      </w:r>
      <w:r>
        <w:rPr>
          <w:rStyle w:val="StringTok"/>
        </w:rPr>
        <w:t xml:space="preserve">"20 secs"</w:t>
      </w:r>
      <w:r>
        <w:rPr>
          <w:rStyle w:val="NormalTok"/>
        </w:rPr>
        <w:t xml:space="preserve">,</w:t>
      </w:r>
      <w:r>
        <w:br/>
      </w:r>
      <w:r>
        <w:rPr>
          <w:rStyle w:val="NormalTok"/>
        </w:rPr>
        <w:t xml:space="preserve">                   </w:t>
      </w:r>
      <w:r>
        <w:rPr>
          <w:rStyle w:val="AttributeTok"/>
        </w:rPr>
        <w:t xml:space="preserve">return.only.clusters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drop.empty.groups =</w:t>
      </w:r>
      <w:r>
        <w:rPr>
          <w:rStyle w:val="NormalTok"/>
        </w:rPr>
        <w:t xml:space="preserve"> </w:t>
      </w:r>
      <w:r>
        <w:rPr>
          <w:rStyle w:val="ConstantTok"/>
        </w:rPr>
        <w:t xml:space="preserve">FALSE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lead</w:t>
      </w:r>
      <w:r>
        <w:rPr>
          <w:rStyle w:val="NormalTok"/>
        </w:rPr>
        <w:t xml:space="preserve">(is.cluster) </w:t>
      </w:r>
      <w:r>
        <w:rPr>
          <w:rStyle w:val="SpecialCharTok"/>
        </w:rPr>
        <w:t xml:space="preserve">&amp;</w:t>
      </w:r>
      <w:r>
        <w:rPr>
          <w:rStyle w:val="NormalTok"/>
        </w:rPr>
        <w:t xml:space="preserve"> is.cluster) </w:t>
      </w:r>
      <w:r>
        <w:rPr>
          <w:rStyle w:val="SpecialCharTok"/>
        </w:rPr>
        <w:t xml:space="preserve">|&gt;</w:t>
      </w:r>
      <w:r>
        <w:rPr>
          <w:rStyle w:val="NormalTok"/>
        </w:rPr>
        <w:t xml:space="preserve"> </w:t>
      </w:r>
      <w:r>
        <w:br/>
      </w:r>
      <w:r>
        <w:rPr>
          <w:rStyle w:val="NormalTok"/>
        </w:rPr>
        <w:t xml:space="preserve">  </w:t>
      </w:r>
      <w:r>
        <w:rPr>
          <w:rStyle w:val="FunctionTok"/>
        </w:rPr>
        <w:t xml:space="preserve">summarize_numeric</w:t>
      </w:r>
      <w:r>
        <w:rPr>
          <w:rStyle w:val="NormalTok"/>
        </w:rPr>
        <w:t xml:space="preserve">(</w:t>
      </w:r>
      <w:r>
        <w:rPr>
          <w:rStyle w:val="AttributeTok"/>
        </w:rPr>
        <w:t xml:space="preserve">prefix =</w:t>
      </w:r>
      <w:r>
        <w:rPr>
          <w:rStyle w:val="NormalTok"/>
        </w:rPr>
        <w:t xml:space="preserve"> </w:t>
      </w:r>
      <w:r>
        <w:rPr>
          <w:rStyle w:val="StringTok"/>
        </w:rPr>
        <w:t xml:space="preserve">"mean "</w:t>
      </w:r>
      <w:r>
        <w:rPr>
          <w:rStyle w:val="NormalTok"/>
        </w:rPr>
        <w:t xml:space="preserve">,</w:t>
      </w:r>
      <w:r>
        <w:br/>
      </w:r>
      <w:r>
        <w:rPr>
          <w:rStyle w:val="NormalTok"/>
        </w:rPr>
        <w:t xml:space="preserve">    </w:t>
      </w:r>
      <w:r>
        <w:rPr>
          <w:rStyle w:val="AttributeTok"/>
        </w:rPr>
        <w:t xml:space="preserve">remove =</w:t>
      </w:r>
      <w:r>
        <w:rPr>
          <w:rStyle w:val="NormalTok"/>
        </w:rPr>
        <w:t xml:space="preserve"> </w:t>
      </w:r>
      <w:r>
        <w:rPr>
          <w:rStyle w:val="FunctionTok"/>
        </w:rPr>
        <w:t xml:space="preserve">c</w:t>
      </w:r>
      <w:r>
        <w:rPr>
          <w:rStyle w:val="NormalTok"/>
        </w:rPr>
        <w:t xml:space="preserve">(</w:t>
      </w:r>
      <w:r>
        <w:rPr>
          <w:rStyle w:val="StringTok"/>
        </w:rPr>
        <w:t xml:space="preserve">"Datetime"</w:t>
      </w:r>
      <w:r>
        <w:rPr>
          <w:rStyle w:val="NormalTok"/>
        </w:rPr>
        <w:t xml:space="preserve">, </w:t>
      </w:r>
      <w:r>
        <w:rPr>
          <w:rStyle w:val="StringTok"/>
        </w:rPr>
        <w:t xml:space="preserve">"start"</w:t>
      </w:r>
      <w:r>
        <w:rPr>
          <w:rStyle w:val="NormalTok"/>
        </w:rPr>
        <w:t xml:space="preserve">, </w:t>
      </w:r>
      <w:r>
        <w:rPr>
          <w:rStyle w:val="StringTok"/>
        </w:rPr>
        <w:t xml:space="preserve">"end"</w:t>
      </w:r>
      <w:r>
        <w:rPr>
          <w:rStyle w:val="NormalTok"/>
        </w:rPr>
        <w:t xml:space="preserve">, </w:t>
      </w:r>
      <w:r>
        <w:rPr>
          <w:rStyle w:val="StringTok"/>
        </w:rPr>
        <w:t xml:space="preserve">"duration"</w:t>
      </w:r>
      <w:r>
        <w:rPr>
          <w:rStyle w:val="NormalTok"/>
        </w:rPr>
        <w:t xml:space="preserve">),</w:t>
      </w:r>
      <w:r>
        <w:br/>
      </w:r>
      <w:r>
        <w:rPr>
          <w:rStyle w:val="NormalTok"/>
        </w:rPr>
        <w:t xml:space="preserve">    </w:t>
      </w:r>
      <w:r>
        <w:rPr>
          <w:rStyle w:val="AttributeTok"/>
        </w:rPr>
        <w:t xml:space="preserve">add.total.duration =</w:t>
      </w:r>
      <w:r>
        <w:rPr>
          <w:rStyle w:val="NormalTok"/>
        </w:rPr>
        <w:t xml:space="preserve"> </w:t>
      </w:r>
      <w:r>
        <w:rPr>
          <w:rStyle w:val="ConstantTok"/>
        </w:rPr>
        <w:t xml:space="preserve">FALSE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mean_daily</w:t>
      </w:r>
      <w:r>
        <w:rPr>
          <w:rStyle w:val="NormalTok"/>
        </w:rPr>
        <w:t xml:space="preserve">(</w:t>
      </w:r>
      <w:r>
        <w:rPr>
          <w:rStyle w:val="AttributeTok"/>
        </w:rPr>
        <w:t xml:space="preserve">prefix =</w:t>
      </w:r>
      <w:r>
        <w:rPr>
          <w:rStyle w:val="NormalTok"/>
        </w:rPr>
        <w:t xml:space="preserve"> </w:t>
      </w:r>
      <w:r>
        <w:rPr>
          <w:rStyle w:val="StringTok"/>
        </w:rPr>
        <w:t xml:space="preserv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rPr>
          <w:rStyle w:val="FunctionTok"/>
        </w:rPr>
        <w:t xml:space="preserve">fmt_number</w:t>
      </w:r>
      <w:r>
        <w:rPr>
          <w:rStyle w:val="NormalTok"/>
        </w:rPr>
        <w:t xml:space="preserve">(episodes, </w:t>
      </w:r>
      <w:r>
        <w:rPr>
          <w:rStyle w:val="AttributeTok"/>
        </w:rPr>
        <w:t xml:space="preserve">decimals =</w:t>
      </w:r>
      <w:r>
        <w:rPr>
          <w:rStyle w:val="NormalTok"/>
        </w:rPr>
        <w:t xml:space="preserve"> </w:t>
      </w:r>
      <w:r>
        <w:rPr>
          <w:rStyle w:val="DecValTok"/>
        </w:rPr>
        <w:t xml:space="preserve">0</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22" w:name="tbl-changesoutdoor2"/>
          <w:p>
            <w:pPr>
              <w:jc w:val="center"/>
            </w:pPr>
            <w:pPr>
              <w:jc w:val="left"/>
              <w:spacing w:before="200"/>
              <w:pStyle w:val="ImageCaption"/>
            </w:pPr>
            <w:r>
              <w:t xml:space="preserve">Table 13: Daily indoor-to-outdoor transition count (requiring ≥5 min duration of ≥1000 lx to count)</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Date</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mean epoch</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episodes</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3"/>
                </w:tcPr>
                <w:p>
                  <w:pPr>
                    <w:spacing w:before="0" w:after="60"/>
                    <w:keepNext/>
                  </w:pPr>
                  <w:r>
                    <w:rPr>
                      <w:rFonts w:ascii="Calibri" w:hAnsi="Calibri"/>
                      <w:sz w:val="20"/>
                    </w:rPr>
                    <w:t xml:space="default">VEET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daily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Weekend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r>
          </w:tbl>
          <w:bookmarkEnd w:id="122"/>
        </w:tc>
      </w:tr>
    </w:tbl>
    <w:bookmarkEnd w:id="123"/>
    <w:bookmarkStart w:id="127" w:name="longest-sustained-bright-light-period"/>
    <w:p>
      <w:pPr>
        <w:pStyle w:val="Heading4"/>
      </w:pPr>
      <w:r>
        <w:t xml:space="preserve">Longest sustained bright-light period</w:t>
      </w:r>
    </w:p>
    <w:p>
      <w:pPr>
        <w:pStyle w:val="FirstParagraph"/>
      </w:pPr>
      <w:r>
        <w:t xml:space="preserve">The final light exposure metric we illustrate is the longest continuous period above a certain illuminance threshold (often termed longest period above threshold, e.g. PAT</w:t>
      </w:r>
      <w:r>
        <w:t xml:space="preserve">1000</w:t>
      </w:r>
      <w:r>
        <w:t xml:space="preserve"> </w:t>
      </w:r>
      <w:r>
        <w:t xml:space="preserve">for 1000 lx). This gives us a sense of the longest outdoor exposure in a day. Along with it, one might report the total duration above that threshold in the day (TAT</w:t>
      </w:r>
      <w:r>
        <w:t xml:space="preserve">1000</w:t>
      </w:r>
      <w:r>
        <w:t xml:space="preserve">). While we could derive these from the earlier analyses, LightLogR provides dedicated</w:t>
      </w:r>
      <w:r>
        <w:t xml:space="preserve"> </w:t>
      </w:r>
      <w:hyperlink r:id="rId124">
        <w:r>
          <w:rPr>
            <w:rStyle w:val="Hyperlink"/>
          </w:rPr>
          <w:t xml:space="preserve">metric</w:t>
        </w:r>
      </w:hyperlink>
      <w:r>
        <w:t xml:space="preserve"> </w:t>
      </w:r>
      <w:r>
        <w:t xml:space="preserve">functions for such calculations, which can compute multiple related metrics at once.</w:t>
      </w:r>
    </w:p>
    <w:p>
      <w:pPr>
        <w:pStyle w:val="BodyText"/>
      </w:pPr>
      <w:r>
        <w:t xml:space="preserve">Using the function</w:t>
      </w:r>
      <w:r>
        <w:t xml:space="preserve"> </w:t>
      </w:r>
      <w:hyperlink r:id="rId38">
        <w:r>
          <w:rPr>
            <w:rStyle w:val="Hyperlink"/>
          </w:rPr>
          <w:t xml:space="preserve">period_above_threshold()</w:t>
        </w:r>
      </w:hyperlink>
      <w:r>
        <w:t xml:space="preserve"> </w:t>
      </w:r>
      <w:r>
        <w:t xml:space="preserve">for PAT and</w:t>
      </w:r>
      <w:r>
        <w:t xml:space="preserve"> </w:t>
      </w:r>
      <w:hyperlink r:id="rId125">
        <w:r>
          <w:rPr>
            <w:rStyle w:val="Hyperlink"/>
          </w:rPr>
          <w:t xml:space="preserve">duration_above_threshold()</w:t>
        </w:r>
      </w:hyperlink>
      <w:r>
        <w:t xml:space="preserve"> </w:t>
      </w:r>
      <w:r>
        <w:t xml:space="preserve">for TAT, we calculate both metrics for the 1000 lx threshold.</w:t>
      </w:r>
      <w:r>
        <w:t xml:space="preserve"> </w:t>
      </w:r>
      <w:hyperlink w:anchor="tbl-periodoutdoor">
        <w:r>
          <w:rPr>
            <w:rStyle w:val="Hyperlink"/>
          </w:rPr>
          <w:t xml:space="preserve">Table 14</w:t>
        </w:r>
      </w:hyperlink>
      <w:r>
        <w:t xml:space="preserve"> </w:t>
      </w:r>
      <w:r>
        <w:t xml:space="preserve">shows the mean of these metrics across days (i.e., average longest bright period and average total bright time per day).</w:t>
      </w:r>
    </w:p>
    <w:p>
      <w:pPr>
        <w:pStyle w:val="SourceCode"/>
      </w:pPr>
      <w:r>
        <w:rPr>
          <w:rStyle w:val="NormalTok"/>
        </w:rPr>
        <w:t xml:space="preserve">dataVEET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FunctionTok"/>
        </w:rPr>
        <w:t xml:space="preserve">period_above_threshold</w:t>
      </w:r>
      <w:r>
        <w:rPr>
          <w:rStyle w:val="NormalTok"/>
        </w:rPr>
        <w:t xml:space="preserve">(</w:t>
      </w:r>
      <w:r>
        <w:br/>
      </w:r>
      <w:r>
        <w:rPr>
          <w:rStyle w:val="NormalTok"/>
        </w:rPr>
        <w:t xml:space="preserve">      Lux, Datetime, </w:t>
      </w:r>
      <w:r>
        <w:rPr>
          <w:rStyle w:val="AttributeTok"/>
        </w:rPr>
        <w:t xml:space="preserve">threshold =</w:t>
      </w:r>
      <w:r>
        <w:rPr>
          <w:rStyle w:val="NormalTok"/>
        </w:rPr>
        <w:t xml:space="preserve"> </w:t>
      </w:r>
      <w:r>
        <w:rPr>
          <w:rStyle w:val="DecValTok"/>
        </w:rPr>
        <w:t xml:space="preserve">1000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as.df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duration_above_threshold</w:t>
      </w:r>
      <w:r>
        <w:rPr>
          <w:rStyle w:val="NormalTok"/>
        </w:rPr>
        <w:t xml:space="preserve">(</w:t>
      </w:r>
      <w:r>
        <w:br/>
      </w:r>
      <w:r>
        <w:rPr>
          <w:rStyle w:val="NormalTok"/>
        </w:rPr>
        <w:t xml:space="preserve">      Lux, Datetime, </w:t>
      </w:r>
      <w:r>
        <w:rPr>
          <w:rStyle w:val="AttributeTok"/>
        </w:rPr>
        <w:t xml:space="preserve">threshold =</w:t>
      </w:r>
      <w:r>
        <w:rPr>
          <w:rStyle w:val="NormalTok"/>
        </w:rPr>
        <w:t xml:space="preserve"> </w:t>
      </w:r>
      <w:r>
        <w:rPr>
          <w:rStyle w:val="DecValTok"/>
        </w:rPr>
        <w:t xml:space="preserve">1000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as.df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"keep"</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to_mean_daily</w:t>
      </w:r>
      <w:r>
        <w:rPr>
          <w:rStyle w:val="NormalTok"/>
        </w:rPr>
        <w:t xml:space="preserve">(</w:t>
      </w:r>
      <w:r>
        <w:rPr>
          <w:rStyle w:val="StringTok"/>
        </w:rPr>
        <w:t xml:space="preserv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26" w:name="tbl-periodoutdoor"/>
          <w:p>
            <w:pPr>
              <w:jc w:val="center"/>
            </w:pPr>
            <w:pPr>
              <w:jc w:val="left"/>
              <w:spacing w:before="200"/>
              <w:pStyle w:val="ImageCaption"/>
            </w:pPr>
            <w:r>
              <w:t xml:space="preserve">Table 14: Longest period and total duration illuminance above 1000 lx (PAT1000 and TAT1000)</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Date</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period above 1000</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duration above 1000</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3"/>
                </w:tcPr>
                <w:p>
                  <w:pPr>
                    <w:spacing w:before="0" w:after="60"/>
                    <w:keepNext/>
                  </w:pPr>
                  <w:r>
                    <w:rPr>
                      <w:rFonts w:ascii="Calibri" w:hAnsi="Calibri"/>
                      <w:sz w:val="20"/>
                    </w:rPr>
                    <w:t xml:space="default">VEET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daily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1208s (~20.13 minutes)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5703s (~1.58 hours)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1469s (~24.48 minutes)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6815s (~1.89 hours)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Weekend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555s (~9.25 minutes)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2922s (~48.7 minutes)</w:t>
                  </w:r>
                </w:p>
              </w:tc>
            </w:tr>
          </w:tbl>
          <w:bookmarkEnd w:id="126"/>
        </w:tc>
      </w:tr>
    </w:tbl>
    <w:bookmarkEnd w:id="127"/>
    <w:bookmarkStart w:id="130" w:name="merging-data-streams"/>
    <w:p>
      <w:pPr>
        <w:pStyle w:val="Heading4"/>
      </w:pPr>
      <w:r>
        <w:t xml:space="preserve">Merging data streams</w:t>
      </w:r>
    </w:p>
    <w:p>
      <w:pPr>
        <w:pStyle w:val="FirstParagraph"/>
      </w:pPr>
      <w:r>
        <w:t xml:space="preserve">Note that while imports from different devices can be</w:t>
      </w:r>
      <w:r>
        <w:t xml:space="preserve"> </w:t>
      </w:r>
      <w:hyperlink r:id="rId128">
        <w:r>
          <w:rPr>
            <w:rStyle w:val="Hyperlink"/>
          </w:rPr>
          <w:t xml:space="preserve">merged</w:t>
        </w:r>
      </w:hyperlink>
      <w:r>
        <w:t xml:space="preserve">, devices differ in their sensors, electronics, housing or diffuser form factors, and on-device data-processing pipelines. All of these factors affect the comparability of measurements, even when devices output the same variable (e.g., illuminance or distance). If data from different devices with the same measurement variable are to be merged, the corresponding variable names should be standardized beforehand - for example, renaming</w:t>
      </w:r>
      <w:r>
        <w:t xml:space="preserve"> </w:t>
      </w:r>
      <w:r>
        <w:rPr>
          <w:rStyle w:val="VerbatimChar"/>
        </w:rPr>
        <w:t xml:space="preserve">Lux</w:t>
      </w:r>
      <w:r>
        <w:t xml:space="preserve"> </w:t>
      </w:r>
      <w:r>
        <w:t xml:space="preserve">and</w:t>
      </w:r>
      <w:r>
        <w:t xml:space="preserve"> </w:t>
      </w:r>
      <w:r>
        <w:rPr>
          <w:rStyle w:val="VerbatimChar"/>
        </w:rPr>
        <w:t xml:space="preserve">LIGHT</w:t>
      </w:r>
      <w:r>
        <w:t xml:space="preserve"> </w:t>
      </w:r>
      <w:r>
        <w:t xml:space="preserve">to</w:t>
      </w:r>
      <w:r>
        <w:t xml:space="preserve"> </w:t>
      </w:r>
      <w:r>
        <w:rPr>
          <w:rStyle w:val="VerbatimChar"/>
        </w:rPr>
        <w:t xml:space="preserve">illuminance</w:t>
      </w:r>
      <w:r>
        <w:t xml:space="preserve">. If we wanted to analyse the</w:t>
      </w:r>
      <w:r>
        <w:t xml:space="preserve"> </w:t>
      </w:r>
      <w:r>
        <w:rPr>
          <w:rStyle w:val="VerbatimChar"/>
        </w:rPr>
        <w:t xml:space="preserve">VEET</w:t>
      </w:r>
      <w:r>
        <w:t xml:space="preserve"> </w:t>
      </w:r>
      <w:r>
        <w:t xml:space="preserve">data together with the</w:t>
      </w:r>
      <w:r>
        <w:t xml:space="preserve"> </w:t>
      </w:r>
      <w:r>
        <w:rPr>
          <w:rStyle w:val="VerbatimChar"/>
        </w:rPr>
        <w:t xml:space="preserve">Clouclip</w:t>
      </w:r>
      <w:r>
        <w:t xml:space="preserve"> </w:t>
      </w:r>
      <w:r>
        <w:t xml:space="preserve">data, for example, we would not have to rename anything, as both carry their illuminance measurements in the variable</w:t>
      </w:r>
      <w:r>
        <w:t xml:space="preserve"> </w:t>
      </w:r>
      <w:r>
        <w:rPr>
          <w:rStyle w:val="VerbatimChar"/>
        </w:rPr>
        <w:t xml:space="preserve">Lux</w:t>
      </w:r>
      <w:r>
        <w:t xml:space="preserve">. The following example shows how the combination of datasets would lead to a combined dataset, and how that would affect analysis outcomes.</w:t>
      </w:r>
      <w:r>
        <w:t xml:space="preserve"> </w:t>
      </w:r>
      <w:r>
        <w:rPr>
          <w:b/>
          <w:bCs/>
        </w:rPr>
        <w:t xml:space="preserve">It is the responsibility of the researcher to perform device calibration and/or checks for a similar measurement fidelity.</w:t>
      </w:r>
    </w:p>
    <w:p>
      <w:pPr>
        <w:pStyle w:val="SourceCode"/>
      </w:pPr>
      <w:r>
        <w:rPr>
          <w:rStyle w:val="NormalTok"/>
        </w:rPr>
        <w:t xml:space="preserve">data </w:t>
      </w:r>
      <w:r>
        <w:rPr>
          <w:rStyle w:val="OtherTok"/>
        </w:rPr>
        <w:t xml:space="preserve">&lt;-</w:t>
      </w:r>
      <w:r>
        <w:rPr>
          <w:rStyle w:val="NormalTok"/>
        </w:rPr>
        <w:t xml:space="preserve"> </w:t>
      </w:r>
      <w:r>
        <w:rPr>
          <w:rStyle w:val="FunctionTok"/>
        </w:rPr>
        <w:t xml:space="preserve">join_datasets</w:t>
      </w:r>
      <w:r>
        <w:rPr>
          <w:rStyle w:val="NormalTok"/>
        </w:rPr>
        <w:t xml:space="preserve">(dataCC, dataVEET)</w:t>
      </w:r>
      <w:r>
        <w:br/>
      </w:r>
      <w:r>
        <w:rPr>
          <w:rStyle w:val="NormalTok"/>
        </w:rPr>
        <w:t xml:space="preserve">data </w:t>
      </w:r>
      <w:r>
        <w:rPr>
          <w:rStyle w:val="SpecialCharTok"/>
        </w:rPr>
        <w:t xml:space="preserve">|&gt;</w:t>
      </w:r>
      <w:r>
        <w:rPr>
          <w:rStyle w:val="NormalTok"/>
        </w:rPr>
        <w:t xml:space="preserve"> </w:t>
      </w:r>
      <w:r>
        <w:rPr>
          <w:rStyle w:val="FunctionTok"/>
        </w:rPr>
        <w:t xml:space="preserve">summary_overview</w:t>
      </w:r>
      <w:r>
        <w:rPr>
          <w:rStyle w:val="NormalTok"/>
        </w:rPr>
        <w:t xml:space="preserve">(Lux, </w:t>
      </w:r>
      <w:r>
        <w:rPr>
          <w:rStyle w:val="AttributeTok"/>
        </w:rPr>
        <w:t xml:space="preserve">threshold.missing =</w:t>
      </w:r>
      <w:r>
        <w:rPr>
          <w:rStyle w:val="NormalTok"/>
        </w:rPr>
        <w:t xml:space="preserve"> </w:t>
      </w:r>
      <w:r>
        <w:rPr>
          <w:rStyle w:val="FloatTok"/>
        </w:rPr>
        <w:t xml:space="preserve">0.5</w:t>
      </w:r>
      <w:r>
        <w:rPr>
          <w:rStyle w:val="NormalTok"/>
        </w:rPr>
        <w:t xml:space="preserve">) </w:t>
      </w:r>
      <w:r>
        <w:rPr>
          <w:rStyle w:val="SpecialCharTok"/>
        </w:rPr>
        <w:t xml:space="preserve">|&gt;</w:t>
      </w:r>
      <w:r>
        <w:rPr>
          <w:rStyle w:val="NormalTok"/>
        </w:rPr>
        <w:t xml:space="preserve"> </w:t>
      </w:r>
      <w:r>
        <w:rPr>
          <w:rStyle w:val="FunctionTok"/>
        </w:rPr>
        <w:t xml:space="preserve">gt</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name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mean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min</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max</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Participants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Participant-days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Days ≥50% complete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Missing/Irregular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0.86</w:t>
            </w:r>
          </w:p>
        </w:tc>
      </w:tr>
    </w:tbl>
    <w:p>
      <w:pPr>
        <w:pStyle w:val="FirstParagraph"/>
      </w:pPr>
      <w:r>
        <w:t xml:space="preserve">We will reuse the example from</w:t>
      </w:r>
      <w:r>
        <w:t xml:space="preserve"> </w:t>
      </w:r>
      <w:hyperlink w:anchor="sec-avelight">
        <w:r>
          <w:rPr>
            <w:rStyle w:val="Hyperlink"/>
          </w:rPr>
          <w:t xml:space="preserve">Section 3.2.1</w:t>
        </w:r>
      </w:hyperlink>
      <w:r>
        <w:t xml:space="preserve">, but instead of one participant, we now have data from two devices and participants</w:t>
      </w:r>
    </w:p>
    <w:bookmarkStart w:id="129" w:name="annotated-cell-22"/>
    <w:p>
      <w:pPr>
        <w:pStyle w:val="SourceCode"/>
      </w:pPr>
      <w:r>
        <w:rPr>
          <w:rStyle w:val="NormalTok"/>
        </w:rPr>
        <w:t xml:space="preserve">data </w:t>
      </w:r>
      <w:r>
        <w:rPr>
          <w:rStyle w:val="SpecialCharTok"/>
        </w:rPr>
        <w:t xml:space="preserve">|&gt;</w:t>
      </w:r>
      <w:r>
        <w:br/>
      </w:r>
      <w:r>
        <w:rPr>
          <w:rStyle w:val="NormalTok"/>
        </w:rPr>
        <w:t xml:space="preserve">  </w:t>
      </w:r>
      <w:r>
        <w:rPr>
          <w:rStyle w:val="FunctionTok"/>
        </w:rPr>
        <w:t xml:space="preserve">select</w:t>
      </w:r>
      <w:r>
        <w:rPr>
          <w:rStyle w:val="NormalTok"/>
        </w:rPr>
        <w:t xml:space="preserve">(Id, Date, Datetime, Lux)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Lux =</w:t>
      </w:r>
      <w:r>
        <w:rPr>
          <w:rStyle w:val="NormalTok"/>
        </w:rPr>
        <w:t xml:space="preserve"> Lux </w:t>
      </w:r>
      <w:r>
        <w:rPr>
          <w:rStyle w:val="SpecialCharTok"/>
        </w:rPr>
        <w:t xml:space="preserve">|&gt;</w:t>
      </w:r>
      <w:r>
        <w:rPr>
          <w:rStyle w:val="NormalTok"/>
        </w:rPr>
        <w:t xml:space="preserve"> </w:t>
      </w:r>
      <w:r>
        <w:rPr>
          <w:rStyle w:val="FunctionTok"/>
        </w:rPr>
        <w:t xml:space="preserve">log_zero_inflated</w:t>
      </w:r>
      <w:r>
        <w:rPr>
          <w:rStyle w:val="NormalTok"/>
        </w:rPr>
        <w:t xml:space="preserve">()) </w:t>
      </w:r>
      <w:r>
        <w:rPr>
          <w:rStyle w:val="SpecialCharTok"/>
        </w:rPr>
        <w:t xml:space="preserve">|&gt;</w:t>
      </w:r>
      <w:r>
        <w:br/>
      </w:r>
      <w:r>
        <w:rPr>
          <w:rStyle w:val="NormalTok"/>
        </w:rPr>
        <w:t xml:space="preserve">  </w:t>
      </w:r>
      <w:r>
        <w:rPr>
          <w:rStyle w:val="FunctionTok"/>
        </w:rPr>
        <w:t xml:space="preserve">summarize_numeric</w:t>
      </w:r>
      <w:r>
        <w:rPr>
          <w:rStyle w:val="NormalTok"/>
        </w:rPr>
        <w:t xml:space="preserve">(</w:t>
      </w:r>
      <w:r>
        <w:rPr>
          <w:rStyle w:val="AttributeTok"/>
        </w:rPr>
        <w:t xml:space="preserve">prefix =</w:t>
      </w:r>
      <w:r>
        <w:rPr>
          <w:rStyle w:val="NormalTok"/>
        </w:rPr>
        <w:t xml:space="preserve"> </w:t>
      </w:r>
      <w:r>
        <w:rPr>
          <w:rStyle w:val="StringTok"/>
        </w:rPr>
        <w:t xml:space="preserve">"mean "</w:t>
      </w:r>
      <w:r>
        <w:rPr>
          <w:rStyle w:val="NormalTok"/>
        </w:rPr>
        <w:t xml:space="preserve">, </w:t>
      </w:r>
      <w:r>
        <w:rPr>
          <w:rStyle w:val="AttributeTok"/>
        </w:rPr>
        <w:t xml:space="preserve">remove =</w:t>
      </w:r>
      <w:r>
        <w:rPr>
          <w:rStyle w:val="NormalTok"/>
        </w:rPr>
        <w:t xml:space="preserve"> </w:t>
      </w:r>
      <w:r>
        <w:rPr>
          <w:rStyle w:val="FunctionTok"/>
        </w:rPr>
        <w:t xml:space="preserve">c</w:t>
      </w:r>
      <w:r>
        <w:rPr>
          <w:rStyle w:val="NormalTok"/>
        </w:rPr>
        <w:t xml:space="preserve">(</w:t>
      </w:r>
      <w:r>
        <w:rPr>
          <w:rStyle w:val="StringTok"/>
        </w:rPr>
        <w:t xml:space="preserve">"Datetime"</w:t>
      </w:r>
      <w:r>
        <w:rPr>
          <w:rStyle w:val="NormalTok"/>
        </w:rPr>
        <w:t xml:space="preserve">)) </w:t>
      </w:r>
      <w:r>
        <w:rPr>
          <w:rStyle w:val="SpecialCharTok"/>
        </w:rPr>
        <w:t xml:space="preserve">|&gt;</w:t>
      </w:r>
      <w:r>
        <w:br/>
      </w:r>
      <w:r>
        <w:rPr>
          <w:rStyle w:val="NormalTok"/>
        </w:rPr>
        <w:t xml:space="preserve">  </w:t>
      </w:r>
      <w:r>
        <w:rPr>
          <w:rStyle w:val="FunctionTok"/>
        </w:rPr>
        <w:t xml:space="preserve">mean_daily</w:t>
      </w:r>
      <w:r>
        <w:rPr>
          <w:rStyle w:val="NormalTok"/>
        </w:rPr>
        <w:t xml:space="preserve">(</w:t>
      </w:r>
      <w:r>
        <w:rPr>
          <w:rStyle w:val="AttributeTok"/>
        </w:rPr>
        <w:t xml:space="preserve">prefix =</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mean Lux</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AttributeTok"/>
        </w:rPr>
        <w:t xml:space="preserve">mean Lux</w:t>
      </w:r>
      <w:r>
        <w:rPr>
          <w:rStyle w:val="StringTok"/>
        </w:rPr>
        <w:t xml:space="preserve">`</w:t>
      </w:r>
      <w:r>
        <w:rPr>
          <w:rStyle w:val="NormalTok"/>
        </w:rPr>
        <w:t xml:space="preserve"> </w:t>
      </w:r>
      <w:r>
        <w:rPr>
          <w:rStyle w:val="SpecialCharTok"/>
        </w:rPr>
        <w:t xml:space="preserve">|&gt;</w:t>
      </w:r>
      <w:r>
        <w:rPr>
          <w:rStyle w:val="NormalTok"/>
        </w:rPr>
        <w:t xml:space="preserve"> </w:t>
      </w:r>
      <w:r>
        <w:rPr>
          <w:rStyle w:val="FunctionTok"/>
        </w:rPr>
        <w:t xml:space="preserve">exp_zero_inflated</w:t>
      </w:r>
      <w:r>
        <w:rPr>
          <w:rStyle w:val="NormalTok"/>
        </w:rPr>
        <w:t xml:space="preserve">()) </w:t>
      </w:r>
      <w:r>
        <w:rPr>
          <w:rStyle w:val="SpecialCharTok"/>
        </w:rPr>
        <w:t xml:space="preserve">|&gt;</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rPr>
          <w:rStyle w:val="FunctionTok"/>
        </w:rPr>
        <w:t xml:space="preserve">fmt_number</w:t>
      </w:r>
      <w:r>
        <w:rPr>
          <w:rStyle w:val="NormalTok"/>
        </w:rPr>
        <w:t xml:space="preserve">(</w:t>
      </w:r>
      <w:r>
        <w:rPr>
          <w:rStyle w:val="AttributeTok"/>
        </w:rPr>
        <w:t xml:space="preserve">decimals =</w:t>
      </w:r>
      <w:r>
        <w:rPr>
          <w:rStyle w:val="NormalTok"/>
        </w:rPr>
        <w:t xml:space="preserve"> </w:t>
      </w:r>
      <w:r>
        <w:rPr>
          <w:rStyle w:val="DecValTok"/>
        </w:rPr>
        <w:t xml:space="preserve">1</w:t>
      </w:r>
      <w:r>
        <w:rPr>
          <w:rStyle w:val="NormalTok"/>
        </w:rPr>
        <w:t xml:space="preserve">) </w:t>
      </w:r>
      <w:r>
        <w:rPr>
          <w:rStyle w:val="SpecialCharTok"/>
        </w:rPr>
        <w:t xml:space="preserve">|&gt;</w:t>
      </w:r>
      <w:r>
        <w:rPr>
          <w:rStyle w:val="NormalTok"/>
        </w:rPr>
        <w:t xml:space="preserve"> </w:t>
      </w:r>
      <w:r>
        <w:rPr>
          <w:rStyle w:val="FunctionTok"/>
        </w:rPr>
        <w:t xml:space="preserve">cols_hide</w:t>
      </w:r>
      <w:r>
        <w:rPr>
          <w:rStyle w:val="NormalTok"/>
        </w:rPr>
        <w:t xml:space="preserve">(episodes) </w:t>
      </w:r>
      <w:r>
        <w:rPr>
          <w:rStyle w:val="SpecialCharTok"/>
        </w:rPr>
        <w:t xml:space="preserve">|&gt;</w:t>
      </w:r>
      <w:r>
        <w:br/>
      </w:r>
      <w:r>
        <w:rPr>
          <w:rStyle w:val="NormalTok"/>
        </w:rPr>
        <w:t xml:space="preserve">  </w:t>
      </w:r>
      <w:r>
        <w:rPr>
          <w:rStyle w:val="FunctionTok"/>
        </w:rPr>
        <w:t xml:space="preserve">cols_label</w:t>
      </w:r>
      <w:r>
        <w:rPr>
          <w:rStyle w:val="NormalTok"/>
        </w:rPr>
        <w:t xml:space="preserve">(</w:t>
      </w:r>
      <w:r>
        <w:rPr>
          <w:rStyle w:val="StringTok"/>
        </w:rPr>
        <w:t xml:space="preserve">`</w:t>
      </w:r>
      <w:r>
        <w:rPr>
          <w:rStyle w:val="AttributeTok"/>
        </w:rPr>
        <w:t xml:space="preserve">mean Lux</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"Mean photopic illuminance (lx)"</w:t>
      </w:r>
      <w:r>
        <w:rPr>
          <w:rStyle w:val="NormalTok"/>
        </w:rPr>
        <w:t xml:space="preserve">)</w:t>
      </w:r>
    </w:p>
    <w:bookmarkEnd w:id="129"/>
    <w:p>
      <w:pPr>
        <w:pStyle w:val="DefinitionTerm"/>
      </w:pPr>
      <w:r>
        <w:t xml:space="preserve">Line 1</w:t>
      </w:r>
    </w:p>
    <w:p>
      <w:pPr>
        <w:pStyle w:val="Definition"/>
      </w:pPr>
      <w:r>
        <w:t xml:space="preserve">Instead of</w:t>
      </w:r>
      <w:r>
        <w:t xml:space="preserve"> </w:t>
      </w:r>
      <w:r>
        <w:rPr>
          <w:rStyle w:val="VerbatimChar"/>
        </w:rPr>
        <w:t xml:space="preserve">dataVEET</w:t>
      </w:r>
      <w:r>
        <w:t xml:space="preserve"> </w:t>
      </w:r>
      <w:r>
        <w:t xml:space="preserve">we now supply the merged</w:t>
      </w:r>
      <w:r>
        <w:t xml:space="preserve"> </w:t>
      </w:r>
      <w:r>
        <w:rPr>
          <w:rStyle w:val="VerbatimChar"/>
        </w:rPr>
        <w:t xml:space="preserve">data</w:t>
      </w:r>
      <w:r>
        <w:t xml:space="preserve"> </w:t>
      </w:r>
      <w:r>
        <w:t xml:space="preserve">object</w:t>
      </w:r>
    </w:p>
    <w:p>
      <w:pPr>
        <w:pStyle w:val="DefinitionTerm"/>
      </w:pPr>
      <w:r>
        <w:t xml:space="preserve">Lines 2-8</w:t>
      </w:r>
    </w:p>
    <w:p>
      <w:pPr>
        <w:pStyle w:val="Definition"/>
      </w:pPr>
      <w:r>
        <w:t xml:space="preserve">Verbatim from</w:t>
      </w:r>
      <w:r>
        <w:t xml:space="preserve"> </w:t>
      </w:r>
      <w:hyperlink w:anchor="sec-avelight">
        <w:r>
          <w:rPr>
            <w:rStyle w:val="Hyperlink"/>
          </w:rPr>
          <w:t xml:space="preserve">Section 3.2.1</w:t>
        </w:r>
      </w:hyperlink>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Date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Mean photopic illuminance (lx)</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Clouclip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daily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Weekday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Weekend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VEET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Mean daily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Weekday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Weekend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33.9</w:t>
            </w:r>
          </w:p>
        </w:tc>
      </w:tr>
    </w:tbl>
    <w:bookmarkEnd w:id="130"/>
    <w:bookmarkEnd w:id="131"/>
    <w:bookmarkStart w:id="153" w:name="spectrum"/>
    <w:p>
      <w:pPr>
        <w:pStyle w:val="Heading3"/>
      </w:pPr>
      <w:r>
        <w:t xml:space="preserve">Spectrum</w:t>
      </w:r>
    </w:p>
    <w:p>
      <w:pPr>
        <w:pStyle w:val="FirstParagraph"/>
      </w:pPr>
      <w:r>
        <w:t xml:space="preserve">The</w:t>
      </w:r>
      <w:r>
        <w:t xml:space="preserve"> </w:t>
      </w:r>
      <w:r>
        <w:rPr>
          <w:rStyle w:val="VerbatimChar"/>
        </w:rPr>
        <w:t xml:space="preserve">VEET</w:t>
      </w:r>
      <w:r>
        <w:t xml:space="preserve"> </w:t>
      </w:r>
      <w:r>
        <w:t xml:space="preserve">device’s spectral sensor provides multimodal data beyond simple lux values, but it requires reconstruction of the actual light spectrum from raw sensor counts. We processed the spectral sensor data in order to compute two example spectrum-based metrics. Detailed data import, normalization, and spectral reconstruction steps are given in</w:t>
      </w:r>
      <w:r>
        <w:t xml:space="preserve"> </w:t>
      </w:r>
      <w:hyperlink r:id="rId28">
        <w:r>
          <w:rPr>
            <w:rStyle w:val="Hyperlink"/>
          </w:rPr>
          <w:t xml:space="preserve">Supplement 1</w:t>
        </w:r>
      </w:hyperlink>
      <w:r>
        <w:t xml:space="preserve">; here we present the resulting metrics. Briefly, the</w:t>
      </w:r>
      <w:r>
        <w:t xml:space="preserve"> </w:t>
      </w:r>
      <w:r>
        <w:rPr>
          <w:rStyle w:val="VerbatimChar"/>
        </w:rPr>
        <w:t xml:space="preserve">VEET</w:t>
      </w:r>
      <w:r>
        <w:t xml:space="preserve">’s spectral sensor recorded counts in ten wavelength bands (roughly 415 nm to 910 nm), plus a</w:t>
      </w:r>
      <w:r>
        <w:t xml:space="preserve"> </w:t>
      </w:r>
      <w:r>
        <w:rPr>
          <w:rStyle w:val="VerbatimChar"/>
        </w:rPr>
        <w:t xml:space="preserve">Dark</w:t>
      </w:r>
      <w:r>
        <w:t xml:space="preserve"> </w:t>
      </w:r>
      <w:r>
        <w:t xml:space="preserve">and a</w:t>
      </w:r>
      <w:r>
        <w:t xml:space="preserve"> </w:t>
      </w:r>
      <w:r>
        <w:rPr>
          <w:rStyle w:val="VerbatimChar"/>
        </w:rPr>
        <w:t xml:space="preserve">Clear</w:t>
      </w:r>
      <w:r>
        <w:t xml:space="preserve"> </w:t>
      </w:r>
      <w:r>
        <w:t xml:space="preserve">channel</w:t>
      </w:r>
      <w:r>
        <w:rPr>
          <w:rStyle w:val="FootnoteReference"/>
        </w:rPr>
        <w:footnoteReference w:id="132"/>
      </w:r>
      <w:r>
        <w:t xml:space="preserve">. After normalizing by sensor gain and applying the calibration matrix, we obtained an estimated spectral irradiance distribution for each 5-minute interval in the recording. With these reconstructed spectra, we can derive novel metrics that consider spectral content of the light.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Applications/quarto/share/formats/docx/note.png" id="135"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Spectrum-based metrics in wearable data are relatively new and less established compared to distance or broadband light metrics. The following examples illustrate potential uses of spectral data in a theoretical sense, which can be adapted as needed for specific research questions.</w:t>
            </w:r>
          </w:p>
          <w:p/>
        </w:tc>
      </w:tr>
    </w:tbl>
    <w:bookmarkStart w:id="138" w:name="X24b5df65dc97622433e47bd208f253d49b66ef8"/>
    <w:p>
      <w:pPr>
        <w:pStyle w:val="Heading4"/>
      </w:pPr>
      <w:r>
        <w:t xml:space="preserve">Ratio of short- vs. long-wavelength light</w:t>
      </w:r>
    </w:p>
    <w:p>
      <w:pPr>
        <w:pStyle w:val="FirstParagraph"/>
      </w:pPr>
      <w:r>
        <w:t xml:space="preserve">Our first spectral metric is the ratio of short-wavelength light to long-wavelength light, which is relevant, for example, in assessing the blue-light content of exposure. We define</w:t>
      </w:r>
      <w:r>
        <w:t xml:space="preserve"> </w:t>
      </w:r>
      <w:r>
        <w:t xml:space="preserve">“short”</w:t>
      </w:r>
      <w:r>
        <w:t xml:space="preserve"> </w:t>
      </w:r>
      <w:r>
        <w:t xml:space="preserve">wavelengths as 400–500 nm and</w:t>
      </w:r>
      <w:r>
        <w:t xml:space="preserve"> </w:t>
      </w:r>
      <w:r>
        <w:t xml:space="preserve">“long”</w:t>
      </w:r>
      <w:r>
        <w:t xml:space="preserve"> </w:t>
      </w:r>
      <w:r>
        <w:t xml:space="preserve">as 600–700 nm (which are not standardized threshold and can be freely adjusted). Using the list-column of spectra in our dataset, we integrate each spectrum over these ranges (using</w:t>
      </w:r>
      <w:r>
        <w:t xml:space="preserve"> </w:t>
      </w:r>
      <w:hyperlink r:id="rId39">
        <w:r>
          <w:rPr>
            <w:rStyle w:val="VerbatimChar"/>
          </w:rPr>
          <w:t xml:space="preserve">spectral_integration()</w:t>
        </w:r>
      </w:hyperlink>
      <w:r>
        <w:t xml:space="preserve">), and then compute the ratio short/long for each time interval. We then summarize these ratios per day.</w:t>
      </w:r>
    </w:p>
    <w:bookmarkStart w:id="136" w:name="annotated-cell-23"/>
    <w:p>
      <w:pPr>
        <w:pStyle w:val="SourceCode"/>
      </w:pPr>
      <w:r>
        <w:rPr>
          <w:rStyle w:val="NormalTok"/>
        </w:rPr>
        <w:t xml:space="preserve">dataVEET </w:t>
      </w:r>
      <w:r>
        <w:rPr>
          <w:rStyle w:val="OtherTok"/>
        </w:rPr>
        <w:t xml:space="preserve">&lt;-</w:t>
      </w:r>
      <w:r>
        <w:rPr>
          <w:rStyle w:val="NormalTok"/>
        </w:rPr>
        <w:t xml:space="preserve"> dataVEET2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(Id, Date, Datetime, Spectrum)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short =</w:t>
      </w:r>
      <w:r>
        <w:rPr>
          <w:rStyle w:val="NormalTok"/>
        </w:rPr>
        <w:t xml:space="preserve"> </w:t>
      </w:r>
      <w:r>
        <w:br/>
      </w:r>
      <w:r>
        <w:rPr>
          <w:rStyle w:val="NormalTok"/>
        </w:rPr>
        <w:t xml:space="preserve">      Spectrum </w:t>
      </w:r>
      <w:r>
        <w:rPr>
          <w:rStyle w:val="SpecialCharTok"/>
        </w:rPr>
        <w:t xml:space="preserve">|&gt;</w:t>
      </w:r>
      <w:r>
        <w:rPr>
          <w:rStyle w:val="NormalTok"/>
        </w:rPr>
        <w:t xml:space="preserve"> </w:t>
      </w:r>
      <w:r>
        <w:rPr>
          <w:rStyle w:val="FunctionTok"/>
        </w:rPr>
        <w:t xml:space="preserve">map_dbl</w:t>
      </w:r>
      <w:r>
        <w:rPr>
          <w:rStyle w:val="NormalTok"/>
        </w:rPr>
        <w:t xml:space="preserve">(spectral_integration, </w:t>
      </w:r>
      <w:r>
        <w:rPr>
          <w:rStyle w:val="AttributeTok"/>
        </w:rPr>
        <w:t xml:space="preserve">wavelength.range =</w:t>
      </w:r>
      <w:r>
        <w:rPr>
          <w:rStyle w:val="NormalTok"/>
        </w:rPr>
        <w:t xml:space="preserve"> </w:t>
      </w:r>
      <w:r>
        <w:rPr>
          <w:rStyle w:val="FunctionTok"/>
        </w:rPr>
        <w:t xml:space="preserve">c</w:t>
      </w:r>
      <w:r>
        <w:rPr>
          <w:rStyle w:val="NormalTok"/>
        </w:rPr>
        <w:t xml:space="preserve">(</w:t>
      </w:r>
      <w:r>
        <w:rPr>
          <w:rStyle w:val="DecValTok"/>
        </w:rPr>
        <w:t xml:space="preserve">400</w:t>
      </w:r>
      <w:r>
        <w:rPr>
          <w:rStyle w:val="NormalTok"/>
        </w:rPr>
        <w:t xml:space="preserve">, </w:t>
      </w:r>
      <w:r>
        <w:rPr>
          <w:rStyle w:val="DecValTok"/>
        </w:rPr>
        <w:t xml:space="preserve">500</w:t>
      </w:r>
      <w:r>
        <w:rPr>
          <w:rStyle w:val="NormalTok"/>
        </w:rPr>
        <w:t xml:space="preserve">)),</w:t>
      </w:r>
      <w:r>
        <w:br/>
      </w:r>
      <w:r>
        <w:rPr>
          <w:rStyle w:val="NormalTok"/>
        </w:rPr>
        <w:t xml:space="preserve">    </w:t>
      </w:r>
      <w:r>
        <w:rPr>
          <w:rStyle w:val="AttributeTok"/>
        </w:rPr>
        <w:t xml:space="preserve">long  =</w:t>
      </w:r>
      <w:r>
        <w:rPr>
          <w:rStyle w:val="NormalTok"/>
        </w:rPr>
        <w:t xml:space="preserve"> </w:t>
      </w:r>
      <w:r>
        <w:br/>
      </w:r>
      <w:r>
        <w:rPr>
          <w:rStyle w:val="NormalTok"/>
        </w:rPr>
        <w:t xml:space="preserve">      Spectrum </w:t>
      </w:r>
      <w:r>
        <w:rPr>
          <w:rStyle w:val="SpecialCharTok"/>
        </w:rPr>
        <w:t xml:space="preserve">|&gt;</w:t>
      </w:r>
      <w:r>
        <w:rPr>
          <w:rStyle w:val="NormalTok"/>
        </w:rPr>
        <w:t xml:space="preserve"> </w:t>
      </w:r>
      <w:r>
        <w:rPr>
          <w:rStyle w:val="FunctionTok"/>
        </w:rPr>
        <w:t xml:space="preserve">map_dbl</w:t>
      </w:r>
      <w:r>
        <w:rPr>
          <w:rStyle w:val="NormalTok"/>
        </w:rPr>
        <w:t xml:space="preserve">(spectral_integration, </w:t>
      </w:r>
      <w:r>
        <w:rPr>
          <w:rStyle w:val="AttributeTok"/>
        </w:rPr>
        <w:t xml:space="preserve">wavelength.range =</w:t>
      </w:r>
      <w:r>
        <w:rPr>
          <w:rStyle w:val="NormalTok"/>
        </w:rPr>
        <w:t xml:space="preserve"> </w:t>
      </w:r>
      <w:r>
        <w:rPr>
          <w:rStyle w:val="FunctionTok"/>
        </w:rPr>
        <w:t xml:space="preserve">c</w:t>
      </w:r>
      <w:r>
        <w:rPr>
          <w:rStyle w:val="NormalTok"/>
        </w:rPr>
        <w:t xml:space="preserve">(</w:t>
      </w:r>
      <w:r>
        <w:rPr>
          <w:rStyle w:val="DecValTok"/>
        </w:rPr>
        <w:t xml:space="preserve">600</w:t>
      </w:r>
      <w:r>
        <w:rPr>
          <w:rStyle w:val="NormalTok"/>
        </w:rPr>
        <w:t xml:space="preserve">, </w:t>
      </w:r>
      <w:r>
        <w:rPr>
          <w:rStyle w:val="DecValTok"/>
        </w:rPr>
        <w:t xml:space="preserve">700</w:t>
      </w:r>
      <w:r>
        <w:rPr>
          <w:rStyle w:val="NormalTok"/>
        </w:rPr>
        <w:t xml:space="preserve">)),</w:t>
      </w:r>
      <w:r>
        <w:br/>
      </w:r>
      <w:r>
        <w:rPr>
          <w:rStyle w:val="NormalTok"/>
        </w:rPr>
        <w:t xml:space="preserve">    </w:t>
      </w:r>
      <w:r>
        <w:rPr>
          <w:rStyle w:val="StringTok"/>
        </w:rPr>
        <w:t xml:space="preserve">`</w:t>
      </w:r>
      <w:r>
        <w:rPr>
          <w:rStyle w:val="AttributeTok"/>
        </w:rPr>
        <w:t xml:space="preserve">sl ratio</w:t>
      </w:r>
      <w:r>
        <w:rPr>
          <w:rStyle w:val="StringTok"/>
        </w:rPr>
        <w:t xml:space="preserve">`</w:t>
      </w:r>
      <w:r>
        <w:rPr>
          <w:rStyle w:val="NormalTok"/>
        </w:rPr>
        <w:t xml:space="preserve"> </w:t>
      </w:r>
      <w:r>
        <w:rPr>
          <w:rStyle w:val="OtherTok"/>
        </w:rPr>
        <w:t xml:space="preserve">=</w:t>
      </w:r>
      <w:r>
        <w:rPr>
          <w:rStyle w:val="NormalTok"/>
        </w:rPr>
        <w:t xml:space="preserve"> </w:t>
      </w:r>
      <w:r>
        <w:br/>
      </w:r>
      <w:r>
        <w:rPr>
          <w:rStyle w:val="NormalTok"/>
        </w:rPr>
        <w:t xml:space="preserve">      </w:t>
      </w:r>
      <w:r>
        <w:rPr>
          <w:rStyle w:val="FunctionTok"/>
        </w:rPr>
        <w:t xml:space="preserve">ifelse</w:t>
      </w:r>
      <w:r>
        <w:rPr>
          <w:rStyle w:val="NormalTok"/>
        </w:rPr>
        <w:t xml:space="preserve">(</w:t>
      </w:r>
      <w:r>
        <w:rPr>
          <w:rStyle w:val="FunctionTok"/>
        </w:rPr>
        <w:t xml:space="preserve">is.nan</w:t>
      </w:r>
      <w:r>
        <w:rPr>
          <w:rStyle w:val="NormalTok"/>
        </w:rPr>
        <w:t xml:space="preserve">(short </w:t>
      </w:r>
      <w:r>
        <w:rPr>
          <w:rStyle w:val="SpecialCharTok"/>
        </w:rPr>
        <w:t xml:space="preserve">/</w:t>
      </w:r>
      <w:r>
        <w:rPr>
          <w:rStyle w:val="NormalTok"/>
        </w:rPr>
        <w:t xml:space="preserve"> long), </w:t>
      </w:r>
      <w:r>
        <w:rPr>
          <w:rStyle w:val="ConstantTok"/>
        </w:rPr>
        <w:t xml:space="preserve">NA</w:t>
      </w:r>
      <w:r>
        <w:rPr>
          <w:rStyle w:val="NormalTok"/>
        </w:rPr>
        <w:t xml:space="preserve">, short </w:t>
      </w:r>
      <w:r>
        <w:rPr>
          <w:rStyle w:val="SpecialCharTok"/>
        </w:rPr>
        <w:t xml:space="preserve">/</w:t>
      </w:r>
      <w:r>
        <w:rPr>
          <w:rStyle w:val="NormalTok"/>
        </w:rPr>
        <w:t xml:space="preserve"> long)</w:t>
      </w:r>
      <w:r>
        <w:br/>
      </w:r>
      <w:r>
        <w:rPr>
          <w:rStyle w:val="NormalTok"/>
        </w:rPr>
        <w:t xml:space="preserve">  )</w:t>
      </w:r>
    </w:p>
    <w:bookmarkEnd w:id="136"/>
    <w:p>
      <w:pPr>
        <w:pStyle w:val="DefinitionTerm"/>
      </w:pPr>
      <w:r>
        <w:t xml:space="preserve">Line 2</w:t>
      </w:r>
    </w:p>
    <w:p>
      <w:pPr>
        <w:pStyle w:val="Definition"/>
      </w:pPr>
      <w:r>
        <w:t xml:space="preserve">Focus on ID, date, time, and spectrum</w:t>
      </w:r>
    </w:p>
    <w:p>
      <w:pPr>
        <w:pStyle w:val="DefinitionTerm"/>
      </w:pPr>
      <w:r>
        <w:t xml:space="preserve">Line 9</w:t>
      </w:r>
    </w:p>
    <w:p>
      <w:pPr>
        <w:pStyle w:val="Definition"/>
      </w:pPr>
      <w:r>
        <w:t xml:space="preserve">Compute short-to-long wavelength ratio</w:t>
      </w:r>
    </w:p>
    <w:p>
      <w:pPr>
        <w:pStyle w:val="FirstParagraph"/>
      </w:pPr>
      <w:hyperlink w:anchor="tbl-ratio">
        <w:r>
          <w:rPr>
            <w:rStyle w:val="Hyperlink"/>
          </w:rPr>
          <w:t xml:space="preserve">Table 15</w:t>
        </w:r>
      </w:hyperlink>
      <w:r>
        <w:t xml:space="preserve"> </w:t>
      </w:r>
      <w:r>
        <w:t xml:space="preserve">shows the average short/long wavelength ratio, averaged over each day (and then as weekday/weekend means if applicable). In this dataset, the values give an indication of the spectral balance of the light the individual was exposed to (higher values mean relatively more short-wavelength content).</w:t>
      </w:r>
    </w:p>
    <w:p>
      <w:pPr>
        <w:pStyle w:val="SourceCode"/>
      </w:pPr>
      <w:r>
        <w:rPr>
          <w:rStyle w:val="NormalTok"/>
        </w:rPr>
        <w:t xml:space="preserve">dataVEET </w:t>
      </w:r>
      <w:r>
        <w:rPr>
          <w:rStyle w:val="SpecialCharTok"/>
        </w:rPr>
        <w:t xml:space="preserve">|&gt;</w:t>
      </w:r>
      <w:r>
        <w:rPr>
          <w:rStyle w:val="NormalTok"/>
        </w:rPr>
        <w:t xml:space="preserve"> </w:t>
      </w:r>
      <w:r>
        <w:br/>
      </w:r>
      <w:r>
        <w:rPr>
          <w:rStyle w:val="NormalTok"/>
        </w:rPr>
        <w:t xml:space="preserve">  </w:t>
      </w:r>
      <w:r>
        <w:rPr>
          <w:rStyle w:val="FunctionTok"/>
        </w:rPr>
        <w:t xml:space="preserve">summarize_numeric</w:t>
      </w:r>
      <w:r>
        <w:rPr>
          <w:rStyle w:val="NormalTok"/>
        </w:rPr>
        <w:t xml:space="preserve">(</w:t>
      </w:r>
      <w:r>
        <w:rPr>
          <w:rStyle w:val="AttributeTok"/>
        </w:rPr>
        <w:t xml:space="preserve">prefix =</w:t>
      </w:r>
      <w:r>
        <w:rPr>
          <w:rStyle w:val="NormalTok"/>
        </w:rPr>
        <w:t xml:space="preserve"> </w:t>
      </w:r>
      <w:r>
        <w:rPr>
          <w:rStyle w:val="StringTok"/>
        </w:rPr>
        <w:t xml:space="preserve">""</w:t>
      </w:r>
      <w:r>
        <w:rPr>
          <w:rStyle w:val="NormalTok"/>
        </w:rPr>
        <w:t xml:space="preserve">, </w:t>
      </w:r>
      <w:r>
        <w:rPr>
          <w:rStyle w:val="AttributeTok"/>
        </w:rPr>
        <w:t xml:space="preserve">remove =</w:t>
      </w:r>
      <w:r>
        <w:rPr>
          <w:rStyle w:val="NormalTok"/>
        </w:rPr>
        <w:t xml:space="preserve"> </w:t>
      </w:r>
      <w:r>
        <w:rPr>
          <w:rStyle w:val="FunctionTok"/>
        </w:rPr>
        <w:t xml:space="preserve">c</w:t>
      </w:r>
      <w:r>
        <w:rPr>
          <w:rStyle w:val="NormalTok"/>
        </w:rPr>
        <w:t xml:space="preserve">(</w:t>
      </w:r>
      <w:r>
        <w:rPr>
          <w:rStyle w:val="StringTok"/>
        </w:rPr>
        <w:t xml:space="preserve">"Datetime"</w:t>
      </w:r>
      <w:r>
        <w:rPr>
          <w:rStyle w:val="NormalTok"/>
        </w:rPr>
        <w:t xml:space="preserve">, </w:t>
      </w:r>
      <w:r>
        <w:rPr>
          <w:rStyle w:val="StringTok"/>
        </w:rPr>
        <w:t xml:space="preserve">"Spectrum"</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fmt_number</w:t>
      </w:r>
      <w:r>
        <w:rPr>
          <w:rStyle w:val="NormalTok"/>
        </w:rPr>
        <w:t xml:space="preserve">(</w:t>
      </w:r>
      <w:r>
        <w:rPr>
          <w:rStyle w:val="AttributeTok"/>
        </w:rPr>
        <w:t xml:space="preserve">decimals =</w:t>
      </w:r>
      <w:r>
        <w:rPr>
          <w:rStyle w:val="NormalTok"/>
        </w:rPr>
        <w:t xml:space="preserve"> </w:t>
      </w:r>
      <w:r>
        <w:rPr>
          <w:rStyle w:val="DecValTok"/>
        </w:rPr>
        <w:t xml:space="preserve">1</w:t>
      </w:r>
      <w:r>
        <w:rPr>
          <w:rStyle w:val="NormalTok"/>
        </w:rPr>
        <w:t xml:space="preserve">, </w:t>
      </w:r>
      <w:r>
        <w:rPr>
          <w:rStyle w:val="AttributeTok"/>
        </w:rPr>
        <w:t xml:space="preserve">scale_by =</w:t>
      </w:r>
      <w:r>
        <w:rPr>
          <w:rStyle w:val="NormalTok"/>
        </w:rPr>
        <w:t xml:space="preserve"> </w:t>
      </w:r>
      <w:r>
        <w:rPr>
          <w:rStyle w:val="DecValTok"/>
        </w:rPr>
        <w:t xml:space="preserve">1000</w:t>
      </w:r>
      <w:r>
        <w:rPr>
          <w:rStyle w:val="NormalTok"/>
        </w:rPr>
        <w:t xml:space="preserve">) </w:t>
      </w:r>
      <w:r>
        <w:rPr>
          <w:rStyle w:val="SpecialCharTok"/>
        </w:rPr>
        <w:t xml:space="preserve">|&gt;</w:t>
      </w:r>
      <w:r>
        <w:br/>
      </w:r>
      <w:r>
        <w:rPr>
          <w:rStyle w:val="NormalTok"/>
        </w:rPr>
        <w:t xml:space="preserve">  </w:t>
      </w:r>
      <w:r>
        <w:rPr>
          <w:rStyle w:val="FunctionTok"/>
        </w:rPr>
        <w:t xml:space="preserve">fmt_number</w:t>
      </w:r>
      <w:r>
        <w:rPr>
          <w:rStyle w:val="NormalTok"/>
        </w:rPr>
        <w:t xml:space="preserve">(</w:t>
      </w:r>
      <w:r>
        <w:rPr>
          <w:rStyle w:val="StringTok"/>
        </w:rPr>
        <w:t xml:space="preserve">`</w:t>
      </w:r>
      <w:r>
        <w:rPr>
          <w:rStyle w:val="AttributeTok"/>
        </w:rPr>
        <w:t xml:space="preserve">sl ratio</w:t>
      </w:r>
      <w:r>
        <w:rPr>
          <w:rStyle w:val="StringTok"/>
        </w:rPr>
        <w:t xml:space="preserve">`</w:t>
      </w:r>
      <w:r>
        <w:rPr>
          <w:rStyle w:val="NormalTok"/>
        </w:rPr>
        <w:t xml:space="preserve">, </w:t>
      </w:r>
      <w:r>
        <w:rPr>
          <w:rStyle w:val="AttributeTok"/>
        </w:rPr>
        <w:t xml:space="preserve">decimals =</w:t>
      </w:r>
      <w:r>
        <w:rPr>
          <w:rStyle w:val="NormalTok"/>
        </w:rPr>
        <w:t xml:space="preserve"> </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cols_hide</w:t>
      </w:r>
      <w:r>
        <w:rPr>
          <w:rStyle w:val="NormalTok"/>
        </w:rPr>
        <w:t xml:space="preserve">(episodes)</w:t>
      </w:r>
    </w:p>
    <w:tbl>
      <w:tblPr>
        <w:tblStyle w:val="Table"/>
        <w:tblW w:type="pct" w:w="5000"/>
        <w:tblLayout w:type="fixed"/>
        <w:tblLook w:firstRow="0" w:lastRow="0" w:firstColumn="0" w:lastColumn="0" w:noHBand="0" w:noVBand="0" w:val="0000"/>
      </w:tblPr>
      <w:tblGrid>
        <w:gridCol w:w="7920"/>
      </w:tblGrid>
      <w:tr>
        <w:tc>
          <w:tcPr/>
          <w:bookmarkStart w:id="137" w:name="tbl-ratio"/>
          <w:p>
            <w:pPr>
              <w:jc w:val="center"/>
            </w:pPr>
            <w:pPr>
              <w:jc w:val="left"/>
              <w:spacing w:before="200"/>
              <w:pStyle w:val="ImageCaption"/>
            </w:pPr>
            <w:r>
              <w:t xml:space="preserve">Table 15: Average (mW/m²) and ratio of short-wavelength (400–500 nm) to long-wavelength (600–700 nm) light</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Date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short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long</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sl ratio</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4"/>
                </w:tcPr>
                <w:p>
                  <w:pPr>
                    <w:spacing w:before="0" w:after="60"/>
                    <w:keepNext/>
                  </w:pPr>
                  <w:r>
                    <w:rPr>
                      <w:rFonts w:ascii="Calibri" w:hAnsi="Calibri"/>
                      <w:sz w:val="20"/>
                    </w:rPr>
                    <w:t xml:space="default">VEET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2025-06-18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2025-06-20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0.372</w:t>
                  </w:r>
                </w:p>
              </w:tc>
            </w:tr>
          </w:tbl>
          <w:bookmarkEnd w:id="137"/>
        </w:tc>
      </w:tr>
    </w:tbl>
    <w:bookmarkEnd w:id="138"/>
    <w:bookmarkStart w:id="141" w:name="melanopic-daylight-efficacy-ratio-mder"/>
    <w:p>
      <w:pPr>
        <w:pStyle w:val="Heading4"/>
      </w:pPr>
      <w:r>
        <w:t xml:space="preserve">Melanopic daylight efficacy ratio (MDER)</w:t>
      </w:r>
    </w:p>
    <w:p>
      <w:pPr>
        <w:pStyle w:val="FirstParagraph"/>
      </w:pPr>
      <w:r>
        <w:t xml:space="preserve">The same idea is behind calculating the melanopic daylight efficacy ratio (or MDER), which is defined by the CIE</w:t>
      </w:r>
      <w:r>
        <w:t xml:space="preserve"> </w:t>
      </w:r>
      <w:r>
        <w:t xml:space="preserve">(</w:t>
      </w:r>
      <w:r>
        <w:t xml:space="preserve">“CIE System for Metrology of Optical Radiation for</w:t>
      </w:r>
      <w:r>
        <w:t xml:space="preserve"> </w:t>
      </w:r>
      <w:r>
        <w:t xml:space="preserve">ipRGC</w:t>
      </w:r>
      <w:r>
        <w:t xml:space="preserve">-Influenced Responses to Light”</w:t>
      </w:r>
      <w:r>
        <w:t xml:space="preserve"> </w:t>
      </w:r>
      <w:r>
        <w:t xml:space="preserve">2018)</w:t>
      </w:r>
      <w:r>
        <w:t xml:space="preserve"> </w:t>
      </w:r>
      <w:r>
        <w:t xml:space="preserve">as the melanopic EDI divided by the photopic illuminance</w:t>
      </w:r>
      <w:r>
        <w:t xml:space="preserve"> </w:t>
      </w:r>
      <w:r>
        <w:t xml:space="preserve">(Hartmeyer and Andersen 2023)</w:t>
      </w:r>
      <w:r>
        <w:t xml:space="preserve">. Results are shown in</w:t>
      </w:r>
      <w:r>
        <w:t xml:space="preserve"> </w:t>
      </w:r>
      <w:hyperlink w:anchor="tbl-mder">
        <w:r>
          <w:rPr>
            <w:rStyle w:val="Hyperlink"/>
          </w:rPr>
          <w:t xml:space="preserve">Table 16</w:t>
        </w:r>
      </w:hyperlink>
      <w:r>
        <w:t xml:space="preserve">. In this case, instead of a simple integration over a wavelength band, we apply an action spectrum to the spectral power distribution (SPD), integrate over the weighted SPD, and apply a correction factor. All alphaopic action spectra are implemented in the</w:t>
      </w:r>
      <w:r>
        <w:t xml:space="preserve"> </w:t>
      </w:r>
      <w:r>
        <w:rPr>
          <w:rStyle w:val="VerbatimChar"/>
        </w:rPr>
        <w:t xml:space="preserve">spectral_integration()</w:t>
      </w:r>
      <w:r>
        <w:t xml:space="preserve"> </w:t>
      </w:r>
      <w:r>
        <w:t xml:space="preserve">function. These will result in photopic illuminance and melanopic equivalent daylight illuminance (melEDI)</w:t>
      </w:r>
    </w:p>
    <w:bookmarkStart w:id="139" w:name="annotated-cell-25"/>
    <w:p>
      <w:pPr>
        <w:pStyle w:val="SourceCode"/>
      </w:pPr>
      <w:r>
        <w:rPr>
          <w:rStyle w:val="NormalTok"/>
        </w:rPr>
        <w:t xml:space="preserve">dataVEET </w:t>
      </w:r>
      <w:r>
        <w:rPr>
          <w:rStyle w:val="OtherTok"/>
        </w:rPr>
        <w:t xml:space="preserve">&lt;-</w:t>
      </w:r>
      <w:r>
        <w:rPr>
          <w:rStyle w:val="NormalTok"/>
        </w:rPr>
        <w:t xml:space="preserve"> </w:t>
      </w:r>
      <w:r>
        <w:br/>
      </w:r>
      <w:r>
        <w:rPr>
          <w:rStyle w:val="NormalTok"/>
        </w:rPr>
        <w:t xml:space="preserve">  dataVEET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(Id, Date, Datetime, Spectrum, short, long, </w:t>
      </w:r>
      <w:r>
        <w:rPr>
          <w:rStyle w:val="StringTok"/>
        </w:rPr>
        <w:t xml:space="preserve">`</w:t>
      </w:r>
      <w:r>
        <w:rPr>
          <w:rStyle w:val="AttributeTok"/>
        </w:rPr>
        <w:t xml:space="preserve">sl ratio</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melEDI =</w:t>
      </w:r>
      <w:r>
        <w:br/>
      </w:r>
      <w:r>
        <w:rPr>
          <w:rStyle w:val="NormalTok"/>
        </w:rPr>
        <w:t xml:space="preserve">      Spectrum </w:t>
      </w:r>
      <w:r>
        <w:rPr>
          <w:rStyle w:val="SpecialCharTok"/>
        </w:rPr>
        <w:t xml:space="preserve">|&gt;</w:t>
      </w:r>
      <w:r>
        <w:rPr>
          <w:rStyle w:val="NormalTok"/>
        </w:rPr>
        <w:t xml:space="preserve"> </w:t>
      </w:r>
      <w:r>
        <w:rPr>
          <w:rStyle w:val="FunctionTok"/>
        </w:rPr>
        <w:t xml:space="preserve">map_dbl</w:t>
      </w:r>
      <w:r>
        <w:rPr>
          <w:rStyle w:val="NormalTok"/>
        </w:rPr>
        <w:t xml:space="preserve">(spectral_integration, </w:t>
      </w:r>
      <w:r>
        <w:rPr>
          <w:rStyle w:val="AttributeTok"/>
        </w:rPr>
        <w:t xml:space="preserve">action.spectrum =</w:t>
      </w:r>
      <w:r>
        <w:rPr>
          <w:rStyle w:val="NormalTok"/>
        </w:rPr>
        <w:t xml:space="preserve"> </w:t>
      </w:r>
      <w:r>
        <w:rPr>
          <w:rStyle w:val="StringTok"/>
        </w:rPr>
        <w:t xml:space="preserve">"melanopic"</w:t>
      </w:r>
      <w:r>
        <w:rPr>
          <w:rStyle w:val="NormalTok"/>
        </w:rPr>
        <w:t xml:space="preserve">),</w:t>
      </w:r>
      <w:r>
        <w:br/>
      </w:r>
      <w:r>
        <w:rPr>
          <w:rStyle w:val="NormalTok"/>
        </w:rPr>
        <w:t xml:space="preserve">    </w:t>
      </w:r>
      <w:r>
        <w:rPr>
          <w:rStyle w:val="AttributeTok"/>
        </w:rPr>
        <w:t xml:space="preserve">illuminance  =</w:t>
      </w:r>
      <w:r>
        <w:br/>
      </w:r>
      <w:r>
        <w:rPr>
          <w:rStyle w:val="NormalTok"/>
        </w:rPr>
        <w:t xml:space="preserve">      Spectrum </w:t>
      </w:r>
      <w:r>
        <w:rPr>
          <w:rStyle w:val="SpecialCharTok"/>
        </w:rPr>
        <w:t xml:space="preserve">|&gt;</w:t>
      </w:r>
      <w:r>
        <w:rPr>
          <w:rStyle w:val="NormalTok"/>
        </w:rPr>
        <w:t xml:space="preserve"> </w:t>
      </w:r>
      <w:r>
        <w:rPr>
          <w:rStyle w:val="FunctionTok"/>
        </w:rPr>
        <w:t xml:space="preserve">map_dbl</w:t>
      </w:r>
      <w:r>
        <w:rPr>
          <w:rStyle w:val="NormalTok"/>
        </w:rPr>
        <w:t xml:space="preserve">(spectral_integration, </w:t>
      </w:r>
      <w:r>
        <w:rPr>
          <w:rStyle w:val="AttributeTok"/>
        </w:rPr>
        <w:t xml:space="preserve">action.spectrum =</w:t>
      </w:r>
      <w:r>
        <w:rPr>
          <w:rStyle w:val="NormalTok"/>
        </w:rPr>
        <w:t xml:space="preserve"> </w:t>
      </w:r>
      <w:r>
        <w:rPr>
          <w:rStyle w:val="StringTok"/>
        </w:rPr>
        <w:t xml:space="preserve">"photopic"</w:t>
      </w:r>
      <w:r>
        <w:rPr>
          <w:rStyle w:val="NormalTok"/>
        </w:rPr>
        <w:t xml:space="preserve">)</w:t>
      </w:r>
      <w:r>
        <w:br/>
      </w:r>
      <w:r>
        <w:rPr>
          <w:rStyle w:val="NormalTok"/>
        </w:rPr>
        <w:t xml:space="preserve">  )</w:t>
      </w:r>
    </w:p>
    <w:bookmarkEnd w:id="139"/>
    <w:p>
      <w:pPr>
        <w:pStyle w:val="DefinitionTerm"/>
      </w:pPr>
      <w:r>
        <w:t xml:space="preserve">Lines 5-6</w:t>
      </w:r>
    </w:p>
    <w:p>
      <w:pPr>
        <w:pStyle w:val="Definition"/>
      </w:pPr>
      <w:r>
        <w:t xml:space="preserve">Calculate melanopic EDI by applying the</w:t>
      </w:r>
      <w:r>
        <w:t xml:space="preserve"> </w:t>
      </w:r>
      <m:oMath>
        <m:sSub>
          <m:e>
            <m:r>
              <m:t>s</m:t>
            </m:r>
          </m:e>
          <m:sub>
            <m:r>
              <m:t>m</m:t>
            </m:r>
            <m:r>
              <m:t>e</m:t>
            </m:r>
            <m:r>
              <m:t>l</m:t>
            </m:r>
            <m:d>
              <m:dPr>
                <m:begChr m:val="("/>
                <m:sepChr m:val=""/>
                <m:endChr m:val=")"/>
                <m:grow/>
              </m:dPr>
              <m:e>
                <m:r>
                  <m:t>λ</m:t>
                </m:r>
              </m:e>
            </m:d>
          </m:sub>
        </m:sSub>
      </m:oMath>
      <w:r>
        <w:t xml:space="preserve"> </w:t>
      </w:r>
      <w:r>
        <w:t xml:space="preserve">action spectrum, integrating, and weighing</w:t>
      </w:r>
    </w:p>
    <w:p>
      <w:pPr>
        <w:pStyle w:val="DefinitionTerm"/>
      </w:pPr>
      <w:r>
        <w:t xml:space="preserve">Lines 7-8</w:t>
      </w:r>
    </w:p>
    <w:p>
      <w:pPr>
        <w:pStyle w:val="Definition"/>
      </w:pPr>
      <w:r>
        <w:t xml:space="preserve">Calculate photopic illuminance by applying the</w:t>
      </w:r>
      <w:r>
        <w:t xml:space="preserve"> </w:t>
      </w:r>
      <m:oMath>
        <m:sSub>
          <m:e>
            <m:r>
              <m:t>V</m:t>
            </m:r>
          </m:e>
          <m:sub>
            <m:d>
              <m:dPr>
                <m:begChr m:val="("/>
                <m:sepChr m:val=""/>
                <m:endChr m:val=")"/>
                <m:grow/>
              </m:dPr>
              <m:e>
                <m:r>
                  <m:t>λ</m:t>
                </m:r>
              </m:e>
            </m:d>
          </m:sub>
        </m:sSub>
      </m:oMath>
      <w:r>
        <w:t xml:space="preserve"> </w:t>
      </w:r>
      <w:r>
        <w:t xml:space="preserve">action spectrum, integrating, and weighing</w:t>
      </w:r>
    </w:p>
    <w:p>
      <w:pPr>
        <w:pStyle w:val="SourceCode"/>
      </w:pPr>
      <w:r>
        <w:rPr>
          <w:rStyle w:val="NormalTok"/>
        </w:rPr>
        <w:t xml:space="preserve">dataVEET  </w:t>
      </w:r>
      <w:r>
        <w:rPr>
          <w:rStyle w:val="SpecialCharTok"/>
        </w:rPr>
        <w:t xml:space="preserve">|&gt;</w:t>
      </w:r>
      <w:r>
        <w:rPr>
          <w:rStyle w:val="NormalTok"/>
        </w:rPr>
        <w:t xml:space="preserve"> </w:t>
      </w:r>
      <w:r>
        <w:br/>
      </w:r>
      <w:r>
        <w:rPr>
          <w:rStyle w:val="NormalTok"/>
        </w:rPr>
        <w:t xml:space="preserve">  </w:t>
      </w:r>
      <w:r>
        <w:rPr>
          <w:rStyle w:val="FunctionTok"/>
        </w:rPr>
        <w:t xml:space="preserve">summarize_numeric</w:t>
      </w:r>
      <w:r>
        <w:rPr>
          <w:rStyle w:val="NormalTok"/>
        </w:rPr>
        <w:t xml:space="preserve">(</w:t>
      </w:r>
      <w:r>
        <w:rPr>
          <w:rStyle w:val="AttributeTok"/>
        </w:rPr>
        <w:t xml:space="preserve">prefix =</w:t>
      </w:r>
      <w:r>
        <w:rPr>
          <w:rStyle w:val="NormalTok"/>
        </w:rPr>
        <w:t xml:space="preserve"> </w:t>
      </w:r>
      <w:r>
        <w:rPr>
          <w:rStyle w:val="StringTok"/>
        </w:rPr>
        <w:t xml:space="preserve">""</w:t>
      </w:r>
      <w:r>
        <w:rPr>
          <w:rStyle w:val="NormalTok"/>
        </w:rPr>
        <w:t xml:space="preserve">, </w:t>
      </w:r>
      <w:r>
        <w:rPr>
          <w:rStyle w:val="AttributeTok"/>
        </w:rPr>
        <w:t xml:space="preserve">remove =</w:t>
      </w:r>
      <w:r>
        <w:rPr>
          <w:rStyle w:val="NormalTok"/>
        </w:rPr>
        <w:t xml:space="preserve"> </w:t>
      </w:r>
      <w:r>
        <w:rPr>
          <w:rStyle w:val="FunctionTok"/>
        </w:rPr>
        <w:t xml:space="preserve">c</w:t>
      </w:r>
      <w:r>
        <w:rPr>
          <w:rStyle w:val="NormalTok"/>
        </w:rPr>
        <w:t xml:space="preserve">(</w:t>
      </w:r>
      <w:r>
        <w:rPr>
          <w:rStyle w:val="StringTok"/>
        </w:rPr>
        <w:t xml:space="preserve">"Datetime"</w:t>
      </w:r>
      <w:r>
        <w:rPr>
          <w:rStyle w:val="NormalTok"/>
        </w:rPr>
        <w:t xml:space="preserve">, </w:t>
      </w:r>
      <w:r>
        <w:rPr>
          <w:rStyle w:val="StringTok"/>
        </w:rPr>
        <w:t xml:space="preserve">"Spectrum"</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MDER =</w:t>
      </w:r>
      <w:r>
        <w:rPr>
          <w:rStyle w:val="NormalTok"/>
        </w:rPr>
        <w:t xml:space="preserve"> melEDI </w:t>
      </w:r>
      <w:r>
        <w:rPr>
          <w:rStyle w:val="SpecialCharTok"/>
        </w:rPr>
        <w:t xml:space="preserve">/</w:t>
      </w:r>
      <w:r>
        <w:rPr>
          <w:rStyle w:val="NormalTok"/>
        </w:rPr>
        <w:t xml:space="preserve"> illuminance) </w:t>
      </w:r>
      <w:r>
        <w:rPr>
          <w:rStyle w:val="SpecialCharTok"/>
        </w:rPr>
        <w:t xml:space="preserve">|&gt;</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fmt_number</w:t>
      </w:r>
      <w:r>
        <w:rPr>
          <w:rStyle w:val="NormalTok"/>
        </w:rPr>
        <w:t xml:space="preserve">(</w:t>
      </w:r>
      <w:r>
        <w:rPr>
          <w:rStyle w:val="SpecialCharTok"/>
        </w:rPr>
        <w:t xml:space="preserve">-</w:t>
      </w:r>
      <w:r>
        <w:rPr>
          <w:rStyle w:val="StringTok"/>
        </w:rPr>
        <w:t xml:space="preserve">`</w:t>
      </w:r>
      <w:r>
        <w:rPr>
          <w:rStyle w:val="AttributeTok"/>
        </w:rPr>
        <w:t xml:space="preserve">sl ratio</w:t>
      </w:r>
      <w:r>
        <w:rPr>
          <w:rStyle w:val="StringTok"/>
        </w:rPr>
        <w:t xml:space="preserve">`</w:t>
      </w:r>
      <w:r>
        <w:rPr>
          <w:rStyle w:val="NormalTok"/>
        </w:rPr>
        <w:t xml:space="preserve">, </w:t>
      </w:r>
      <w:r>
        <w:rPr>
          <w:rStyle w:val="AttributeTok"/>
        </w:rPr>
        <w:t xml:space="preserve">decimals =</w:t>
      </w:r>
      <w:r>
        <w:rPr>
          <w:rStyle w:val="NormalTok"/>
        </w:rPr>
        <w:t xml:space="preserve"> </w:t>
      </w:r>
      <w:r>
        <w:rPr>
          <w:rStyle w:val="DecValTok"/>
        </w:rPr>
        <w:t xml:space="preserve">1</w:t>
      </w:r>
      <w:r>
        <w:rPr>
          <w:rStyle w:val="NormalTok"/>
        </w:rPr>
        <w:t xml:space="preserve">, </w:t>
      </w:r>
      <w:r>
        <w:rPr>
          <w:rStyle w:val="AttributeTok"/>
        </w:rPr>
        <w:t xml:space="preserve">scale_by =</w:t>
      </w:r>
      <w:r>
        <w:rPr>
          <w:rStyle w:val="NormalTok"/>
        </w:rPr>
        <w:t xml:space="preserve"> </w:t>
      </w:r>
      <w:r>
        <w:rPr>
          <w:rStyle w:val="DecValTok"/>
        </w:rPr>
        <w:t xml:space="preserve">1000</w:t>
      </w:r>
      <w:r>
        <w:rPr>
          <w:rStyle w:val="NormalTok"/>
        </w:rPr>
        <w:t xml:space="preserve">) </w:t>
      </w:r>
      <w:r>
        <w:rPr>
          <w:rStyle w:val="SpecialCharTok"/>
        </w:rPr>
        <w:t xml:space="preserve">|&gt;</w:t>
      </w:r>
      <w:r>
        <w:br/>
      </w:r>
      <w:r>
        <w:rPr>
          <w:rStyle w:val="NormalTok"/>
        </w:rPr>
        <w:t xml:space="preserve">  </w:t>
      </w:r>
      <w:r>
        <w:rPr>
          <w:rStyle w:val="FunctionTok"/>
        </w:rPr>
        <w:t xml:space="preserve">fmt_number</w:t>
      </w:r>
      <w:r>
        <w:rPr>
          <w:rStyle w:val="NormalTok"/>
        </w:rPr>
        <w:t xml:space="preserve">(</w:t>
      </w:r>
      <w:r>
        <w:rPr>
          <w:rStyle w:val="FunctionTok"/>
        </w:rPr>
        <w:t xml:space="preserve">c</w:t>
      </w:r>
      <w:r>
        <w:rPr>
          <w:rStyle w:val="NormalTok"/>
        </w:rPr>
        <w:t xml:space="preserve">(MDER, </w:t>
      </w:r>
      <w:r>
        <w:rPr>
          <w:rStyle w:val="StringTok"/>
        </w:rPr>
        <w:t xml:space="preserve">`</w:t>
      </w:r>
      <w:r>
        <w:rPr>
          <w:rStyle w:val="AttributeTok"/>
        </w:rPr>
        <w:t xml:space="preserve">sl ratio</w:t>
      </w:r>
      <w:r>
        <w:rPr>
          <w:rStyle w:val="StringTok"/>
        </w:rPr>
        <w:t xml:space="preserve">`</w:t>
      </w:r>
      <w:r>
        <w:rPr>
          <w:rStyle w:val="NormalTok"/>
        </w:rPr>
        <w:t xml:space="preserve">), </w:t>
      </w:r>
      <w:r>
        <w:rPr>
          <w:rStyle w:val="AttributeTok"/>
        </w:rPr>
        <w:t xml:space="preserve">decimals =</w:t>
      </w:r>
      <w:r>
        <w:rPr>
          <w:rStyle w:val="NormalTok"/>
        </w:rPr>
        <w:t xml:space="preserve"> </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cols_hide</w:t>
      </w:r>
      <w:r>
        <w:rPr>
          <w:rStyle w:val="NormalTok"/>
        </w:rPr>
        <w:t xml:space="preserve">(episodes)</w:t>
      </w:r>
    </w:p>
    <w:tbl>
      <w:tblPr>
        <w:tblStyle w:val="Table"/>
        <w:tblW w:type="pct" w:w="5000"/>
        <w:tblLayout w:type="fixed"/>
        <w:tblLook w:firstRow="0" w:lastRow="0" w:firstColumn="0" w:lastColumn="0" w:noHBand="0" w:noVBand="0" w:val="0000"/>
      </w:tblPr>
      <w:tblGrid>
        <w:gridCol w:w="7920"/>
      </w:tblGrid>
      <w:tr>
        <w:tc>
          <w:tcPr/>
          <w:bookmarkStart w:id="140" w:name="tbl-mder"/>
          <w:p>
            <w:pPr>
              <w:jc w:val="center"/>
            </w:pPr>
            <w:pPr>
              <w:jc w:val="left"/>
              <w:spacing w:before="200"/>
              <w:pStyle w:val="ImageCaption"/>
            </w:pPr>
            <w:r>
              <w:t xml:space="preserve">Table 16: Average melanopic daylight efficacy ratio (MDER)</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Date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short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long</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sl ratio</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melEDI</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illuminance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MDER</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7"/>
                </w:tcPr>
                <w:p>
                  <w:pPr>
                    <w:spacing w:before="0" w:after="60"/>
                    <w:keepNext/>
                  </w:pPr>
                  <w:r>
                    <w:rPr>
                      <w:rFonts w:ascii="Calibri" w:hAnsi="Calibri"/>
                      <w:sz w:val="20"/>
                    </w:rPr>
                    <w:t xml:space="default">VEET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2025-06-18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2025-06-20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0.871</w:t>
                  </w:r>
                </w:p>
              </w:tc>
            </w:tr>
          </w:tbl>
          <w:bookmarkEnd w:id="140"/>
        </w:tc>
      </w:tr>
    </w:tbl>
    <w:bookmarkEnd w:id="141"/>
    <w:bookmarkStart w:id="142" w:name="X278511e4af72fc2282d4de0a913d2d77ed2a0b8"/>
    <w:p>
      <w:pPr>
        <w:pStyle w:val="Heading4"/>
      </w:pPr>
      <w:r>
        <w:t xml:space="preserve">Short-wavelength light at specific times of day</w:t>
      </w:r>
    </w:p>
    <w:p>
      <w:pPr>
        <w:pStyle w:val="FirstParagraph"/>
      </w:pPr>
      <w:r>
        <w:t xml:space="preserve">The third spectral example examines short-wavelength light exposure as a function of time of day. Certain studies might be interested in, for instance, blue-light exposure during midday versus morning or night. We demonstrate three approaches: (a) filtering the data to a specific local time window, and (b) aggregating by hour of day to see a daily profile of short-wavelength exposure. Additionally, we (c) look at differences between day and night periods.</w:t>
      </w:r>
    </w:p>
    <w:bookmarkEnd w:id="142"/>
    <w:p>
      <w:pPr>
        <w:pStyle w:val="Heading4"/>
      </w:pPr>
      <w:r>
        <w:t xml:space="preserve">Local morning exposure</w:t>
      </w:r>
    </w:p>
    <w:p>
      <w:pPr>
        <w:pStyle w:val="FirstParagraph"/>
      </w:pPr>
      <w:hyperlink w:anchor="tbl-shortfilter">
        <w:r>
          <w:rPr>
            <w:rStyle w:val="Hyperlink"/>
          </w:rPr>
          <w:t xml:space="preserve">Table 17</w:t>
        </w:r>
      </w:hyperlink>
      <w:r>
        <w:t xml:space="preserve"> </w:t>
      </w:r>
      <w:r>
        <w:t xml:space="preserve">isolates the time window between 7:00 and 11:00 each day and computes the average short-wavelength irradiance in that interval. This represents a straightforward query:</w:t>
      </w:r>
      <w:r>
        <w:t xml:space="preserve"> </w:t>
      </w:r>
      <w:r>
        <w:t xml:space="preserve">“How much blue light does the subject get in the morning on average?”</w:t>
      </w:r>
    </w:p>
    <w:bookmarkStart w:id="143" w:name="annotated-cell-40"/>
    <w:p>
      <w:pPr>
        <w:pStyle w:val="SourceCode"/>
      </w:pPr>
      <w:r>
        <w:rPr>
          <w:rStyle w:val="NormalTok"/>
        </w:rPr>
        <w:t xml:space="preserve">dataVEET </w:t>
      </w:r>
      <w:r>
        <w:rPr>
          <w:rStyle w:val="SpecialCharTok"/>
        </w:rPr>
        <w:t xml:space="preserve">|&gt;</w:t>
      </w:r>
      <w:r>
        <w:rPr>
          <w:rStyle w:val="NormalTok"/>
        </w:rPr>
        <w:t xml:space="preserve"> </w:t>
      </w:r>
      <w:r>
        <w:br/>
      </w:r>
      <w:r>
        <w:rPr>
          <w:rStyle w:val="NormalTok"/>
        </w:rPr>
        <w:t xml:space="preserve">  </w:t>
      </w:r>
      <w:r>
        <w:rPr>
          <w:rStyle w:val="FunctionTok"/>
        </w:rPr>
        <w:t xml:space="preserve">filter_Time</w:t>
      </w:r>
      <w:r>
        <w:rPr>
          <w:rStyle w:val="NormalTok"/>
        </w:rPr>
        <w:t xml:space="preserve">(</w:t>
      </w:r>
      <w:r>
        <w:rPr>
          <w:rStyle w:val="AttributeTok"/>
        </w:rPr>
        <w:t xml:space="preserve">start =</w:t>
      </w:r>
      <w:r>
        <w:rPr>
          <w:rStyle w:val="NormalTok"/>
        </w:rPr>
        <w:t xml:space="preserve"> </w:t>
      </w:r>
      <w:r>
        <w:rPr>
          <w:rStyle w:val="StringTok"/>
        </w:rPr>
        <w:t xml:space="preserve">"7:00:00"</w:t>
      </w:r>
      <w:r>
        <w:rPr>
          <w:rStyle w:val="NormalTok"/>
        </w:rPr>
        <w:t xml:space="preserve">, </w:t>
      </w:r>
      <w:r>
        <w:rPr>
          <w:rStyle w:val="AttributeTok"/>
        </w:rPr>
        <w:t xml:space="preserve">end =</w:t>
      </w:r>
      <w:r>
        <w:rPr>
          <w:rStyle w:val="NormalTok"/>
        </w:rPr>
        <w:t xml:space="preserve"> </w:t>
      </w:r>
      <w:r>
        <w:rPr>
          <w:rStyle w:val="StringTok"/>
        </w:rPr>
        <w:t xml:space="preserve">"11:00:00"</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c</w:t>
      </w:r>
      <w:r>
        <w:rPr>
          <w:rStyle w:val="NormalTok"/>
        </w:rPr>
        <w:t xml:space="preserve">(Id, Date, short)) </w:t>
      </w:r>
      <w:r>
        <w:rPr>
          <w:rStyle w:val="SpecialCharTok"/>
        </w:rPr>
        <w:t xml:space="preserve">|&gt;</w:t>
      </w:r>
      <w:r>
        <w:br/>
      </w:r>
      <w:r>
        <w:rPr>
          <w:rStyle w:val="NormalTok"/>
        </w:rPr>
        <w:t xml:space="preserve">  </w:t>
      </w:r>
      <w:r>
        <w:rPr>
          <w:rStyle w:val="FunctionTok"/>
        </w:rPr>
        <w:t xml:space="preserve">summarize_numeric</w:t>
      </w:r>
      <w:r>
        <w:rPr>
          <w:rStyle w:val="NormalTok"/>
        </w:rPr>
        <w:t xml:space="preserve">(</w:t>
      </w:r>
      <w:r>
        <w:rPr>
          <w:rStyle w:val="AttributeTok"/>
        </w:rPr>
        <w:t xml:space="preserve">prefix =</w:t>
      </w:r>
      <w:r>
        <w:rPr>
          <w:rStyle w:val="NormalTok"/>
        </w:rPr>
        <w:t xml:space="preserve"> </w:t>
      </w:r>
      <w:r>
        <w:rPr>
          <w:rStyle w:val="StringTok"/>
        </w:rPr>
        <w:t xml:space="preserv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fmt_number</w:t>
      </w:r>
      <w:r>
        <w:rPr>
          <w:rStyle w:val="NormalTok"/>
        </w:rPr>
        <w:t xml:space="preserve">(short, </w:t>
      </w:r>
      <w:r>
        <w:rPr>
          <w:rStyle w:val="AttributeTok"/>
        </w:rPr>
        <w:t xml:space="preserve">scale_by =</w:t>
      </w:r>
      <w:r>
        <w:rPr>
          <w:rStyle w:val="NormalTok"/>
        </w:rPr>
        <w:t xml:space="preserve"> </w:t>
      </w:r>
      <w:r>
        <w:rPr>
          <w:rStyle w:val="DecValTok"/>
        </w:rPr>
        <w:t xml:space="preserve">1000</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cols_label</w:t>
      </w:r>
      <w:r>
        <w:rPr>
          <w:rStyle w:val="NormalTok"/>
        </w:rPr>
        <w:t xml:space="preserve">(</w:t>
      </w:r>
      <w:r>
        <w:rPr>
          <w:rStyle w:val="AttributeTok"/>
        </w:rPr>
        <w:t xml:space="preserve">short =</w:t>
      </w:r>
      <w:r>
        <w:rPr>
          <w:rStyle w:val="NormalTok"/>
        </w:rPr>
        <w:t xml:space="preserve"> </w:t>
      </w:r>
      <w:r>
        <w:rPr>
          <w:rStyle w:val="StringTok"/>
        </w:rPr>
        <w:t xml:space="preserve">"Short-wavelength irradiance (mW/m²)"</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cols_hide</w:t>
      </w:r>
      <w:r>
        <w:rPr>
          <w:rStyle w:val="NormalTok"/>
        </w:rPr>
        <w:t xml:space="preserve">(episodes)</w:t>
      </w:r>
    </w:p>
    <w:bookmarkEnd w:id="143"/>
    <w:p>
      <w:pPr>
        <w:pStyle w:val="DefinitionTerm"/>
      </w:pPr>
      <w:r>
        <w:t xml:space="preserve">Line 2</w:t>
      </w:r>
    </w:p>
    <w:p>
      <w:pPr>
        <w:pStyle w:val="Definition"/>
      </w:pPr>
      <w:r>
        <w:t xml:space="preserve">Filter data to local 7am–11am</w:t>
      </w:r>
    </w:p>
    <w:tbl>
      <w:tblPr>
        <w:tblStyle w:val="Table"/>
        <w:tblW w:type="pct" w:w="5000"/>
        <w:tblLayout w:type="fixed"/>
        <w:tblLook w:firstRow="0" w:lastRow="0" w:firstColumn="0" w:lastColumn="0" w:noHBand="0" w:noVBand="0" w:val="0000"/>
      </w:tblPr>
      <w:tblGrid>
        <w:gridCol w:w="7920"/>
      </w:tblGrid>
      <w:tr>
        <w:tc>
          <w:tcPr/>
          <w:bookmarkStart w:id="144" w:name="tbl-shortfilter"/>
          <w:p>
            <w:pPr>
              <w:jc w:val="center"/>
            </w:pPr>
            <w:pPr>
              <w:jc w:val="left"/>
              <w:spacing w:before="200"/>
              <w:pStyle w:val="ImageCaption"/>
            </w:pPr>
            <w:r>
              <w:t xml:space="preserve">Table 17: Average short-wavelength light (400–500 nm) exposure between 7:00 and 11:00 each day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Date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Short-wavelength irradiance (mW/m²)</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
                </w:tcPr>
                <w:p>
                  <w:pPr>
                    <w:spacing w:before="0" w:after="60"/>
                    <w:keepNext/>
                  </w:pPr>
                  <w:r>
                    <w:rPr>
                      <w:rFonts w:ascii="Calibri" w:hAnsi="Calibri"/>
                      <w:sz w:val="20"/>
                    </w:rPr>
                    <w:t xml:space="default">VEET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2025-06-18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2025-06-20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0.95</w:t>
                  </w:r>
                </w:p>
              </w:tc>
            </w:tr>
          </w:tbl>
          <w:bookmarkEnd w:id="144"/>
        </w:tc>
      </w:tr>
    </w:tbl>
    <w:p>
      <w:pPr>
        <w:pStyle w:val="Heading4"/>
      </w:pPr>
      <w:r>
        <w:t xml:space="preserve">Hourly profile across the day</w:t>
      </w:r>
    </w:p>
    <w:p>
      <w:pPr>
        <w:pStyle w:val="FirstParagraph"/>
      </w:pPr>
      <w:r>
        <w:t xml:space="preserve">To visualize short-wavelength exposure over the course of a day, we aggregate the data into hourly bins. We cut the timeline into 1-hour segments (using local time), compute the mean short-wavelength irradiance in each hour for each day.</w:t>
      </w:r>
      <w:r>
        <w:t xml:space="preserve"> </w:t>
      </w:r>
      <w:hyperlink w:anchor="fig-shorttime">
        <w:r>
          <w:rPr>
            <w:rStyle w:val="Hyperlink"/>
          </w:rPr>
          <w:t xml:space="preserve">Figure 9</w:t>
        </w:r>
      </w:hyperlink>
      <w:r>
        <w:t xml:space="preserve"> </w:t>
      </w:r>
      <w:r>
        <w:t xml:space="preserve">shows the resulting diurnal profile, with short-wavelength exposure expressed as a fraction of the daily maximum for easier comparison.</w:t>
      </w:r>
    </w:p>
    <w:bookmarkStart w:id="145" w:name="annotated-cell-41"/>
    <w:p>
      <w:pPr>
        <w:pStyle w:val="SourceCode"/>
      </w:pPr>
      <w:r>
        <w:rPr>
          <w:rStyle w:val="NormalTok"/>
        </w:rPr>
        <w:t xml:space="preserve">dataVEETtime </w:t>
      </w:r>
      <w:r>
        <w:rPr>
          <w:rStyle w:val="OtherTok"/>
        </w:rPr>
        <w:t xml:space="preserve">&lt;-</w:t>
      </w:r>
      <w:r>
        <w:rPr>
          <w:rStyle w:val="NormalTok"/>
        </w:rPr>
        <w:t xml:space="preserve"> dataVEET </w:t>
      </w:r>
      <w:r>
        <w:rPr>
          <w:rStyle w:val="SpecialCharTok"/>
        </w:rPr>
        <w:t xml:space="preserve">|&gt;</w:t>
      </w:r>
      <w:r>
        <w:br/>
      </w:r>
      <w:r>
        <w:rPr>
          <w:rStyle w:val="NormalTok"/>
        </w:rPr>
        <w:t xml:space="preserve">  </w:t>
      </w:r>
      <w:r>
        <w:rPr>
          <w:rStyle w:val="FunctionTok"/>
        </w:rPr>
        <w:t xml:space="preserve">cut_Datetime</w:t>
      </w:r>
      <w:r>
        <w:rPr>
          <w:rStyle w:val="NormalTok"/>
        </w:rPr>
        <w:t xml:space="preserve">(</w:t>
      </w:r>
      <w:r>
        <w:rPr>
          <w:rStyle w:val="AttributeTok"/>
        </w:rPr>
        <w:t xml:space="preserve">unit =</w:t>
      </w:r>
      <w:r>
        <w:rPr>
          <w:rStyle w:val="NormalTok"/>
        </w:rPr>
        <w:t xml:space="preserve"> </w:t>
      </w:r>
      <w:r>
        <w:rPr>
          <w:rStyle w:val="StringTok"/>
        </w:rPr>
        <w:t xml:space="preserve">"1 hour"</w:t>
      </w:r>
      <w:r>
        <w:rPr>
          <w:rStyle w:val="NormalTok"/>
        </w:rPr>
        <w:t xml:space="preserve">, </w:t>
      </w:r>
      <w:r>
        <w:rPr>
          <w:rStyle w:val="AttributeTok"/>
        </w:rPr>
        <w:t xml:space="preserve">type =</w:t>
      </w:r>
      <w:r>
        <w:rPr>
          <w:rStyle w:val="NormalTok"/>
        </w:rPr>
        <w:t xml:space="preserve"> </w:t>
      </w:r>
      <w:r>
        <w:rPr>
          <w:rStyle w:val="StringTok"/>
        </w:rPr>
        <w:t xml:space="preserve">"floor"</w:t>
      </w:r>
      <w:r>
        <w:rPr>
          <w:rStyle w:val="NormalTok"/>
        </w:rPr>
        <w:t xml:space="preserve">, </w:t>
      </w:r>
      <w:r>
        <w:rPr>
          <w:rStyle w:val="AttributeTok"/>
        </w:rPr>
        <w:t xml:space="preserve">group_by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FunctionTok"/>
        </w:rPr>
        <w:t xml:space="preserve">c</w:t>
      </w:r>
      <w:r>
        <w:rPr>
          <w:rStyle w:val="NormalTok"/>
        </w:rPr>
        <w:t xml:space="preserve">(Spectrum, long, Datetime)) </w:t>
      </w:r>
      <w:r>
        <w:rPr>
          <w:rStyle w:val="SpecialCharTok"/>
        </w:rPr>
        <w:t xml:space="preserve">|&gt;</w:t>
      </w:r>
      <w:r>
        <w:br/>
      </w:r>
      <w:r>
        <w:rPr>
          <w:rStyle w:val="NormalTok"/>
        </w:rPr>
        <w:t xml:space="preserve">  </w:t>
      </w:r>
      <w:r>
        <w:rPr>
          <w:rStyle w:val="FunctionTok"/>
        </w:rPr>
        <w:t xml:space="preserve">summarize_numeric</w:t>
      </w:r>
      <w:r>
        <w:rPr>
          <w:rStyle w:val="NormalTok"/>
        </w:rPr>
        <w:t xml:space="preserve">(</w:t>
      </w:r>
      <w:r>
        <w:rPr>
          <w:rStyle w:val="AttributeTok"/>
        </w:rPr>
        <w:t xml:space="preserve">prefix =</w:t>
      </w:r>
      <w:r>
        <w:rPr>
          <w:rStyle w:val="NormalTok"/>
        </w:rPr>
        <w:t xml:space="preserve"> </w:t>
      </w:r>
      <w:r>
        <w:rPr>
          <w:rStyle w:val="StringTok"/>
        </w:rPr>
        <w:t xml:space="preserv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add_Time_col</w:t>
      </w:r>
      <w:r>
        <w:rPr>
          <w:rStyle w:val="NormalTok"/>
        </w:rPr>
        <w:t xml:space="preserve">(Datetime.rounded)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rel_short =</w:t>
      </w:r>
      <w:r>
        <w:rPr>
          <w:rStyle w:val="NormalTok"/>
        </w:rPr>
        <w:t xml:space="preserve"> short </w:t>
      </w:r>
      <w:r>
        <w:rPr>
          <w:rStyle w:val="SpecialCharTok"/>
        </w:rPr>
        <w:t xml:space="preserve">/</w:t>
      </w:r>
      <w:r>
        <w:rPr>
          <w:rStyle w:val="NormalTok"/>
        </w:rPr>
        <w:t xml:space="preserve"> </w:t>
      </w:r>
      <w:r>
        <w:rPr>
          <w:rStyle w:val="FunctionTok"/>
        </w:rPr>
        <w:t xml:space="preserve">max</w:t>
      </w:r>
      <w:r>
        <w:rPr>
          <w:rStyle w:val="NormalTok"/>
        </w:rPr>
        <w:t xml:space="preserve">(short))</w:t>
      </w:r>
      <w:r>
        <w:br/>
      </w:r>
      <w:r>
        <w:br/>
      </w:r>
      <w:r>
        <w:rPr>
          <w:rStyle w:val="NormalTok"/>
        </w:rPr>
        <w:t xml:space="preserve">dataVEETtime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Time, </w:t>
      </w:r>
      <w:r>
        <w:rPr>
          <w:rStyle w:val="AttributeTok"/>
        </w:rPr>
        <w:t xml:space="preserve">y =</w:t>
      </w:r>
      <w:r>
        <w:rPr>
          <w:rStyle w:val="NormalTok"/>
        </w:rPr>
        <w:t xml:space="preserve"> rel_short))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w:t>
      </w:r>
      <w:r>
        <w:rPr>
          <w:rStyle w:val="FunctionTok"/>
        </w:rPr>
        <w:t xml:space="preserve">factor</w:t>
      </w:r>
      <w:r>
        <w:rPr>
          <w:rStyle w:val="NormalTok"/>
        </w:rPr>
        <w:t xml:space="preserve">(Date)), </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ggsci</w:t>
      </w:r>
      <w:r>
        <w:rPr>
          <w:rStyle w:val="SpecialCharTok"/>
        </w:rPr>
        <w:t xml:space="preserve">::</w:t>
      </w:r>
      <w:r>
        <w:rPr>
          <w:rStyle w:val="FunctionTok"/>
        </w:rPr>
        <w:t xml:space="preserve">scale_fill_jco</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"Normalized short-wavelength irradiance"</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"Local time (HH:MM)"</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"Date"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label_percent</w:t>
      </w:r>
      <w:r>
        <w:rPr>
          <w:rStyle w:val="NormalTok"/>
        </w:rPr>
        <w:t xml:space="preserve">()) </w:t>
      </w:r>
      <w:r>
        <w:rPr>
          <w:rStyle w:val="SpecialCharTok"/>
        </w:rPr>
        <w:t xml:space="preserve">+</w:t>
      </w:r>
      <w:r>
        <w:br/>
      </w:r>
      <w:r>
        <w:rPr>
          <w:rStyle w:val="NormalTok"/>
        </w:rPr>
        <w:t xml:space="preserve">  </w:t>
      </w:r>
      <w:r>
        <w:rPr>
          <w:rStyle w:val="FunctionTok"/>
        </w:rPr>
        <w:t xml:space="preserve">scale_x_time</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label_time</w:t>
      </w:r>
      <w:r>
        <w:rPr>
          <w:rStyle w:val="NormalTok"/>
        </w:rPr>
        <w:t xml:space="preserve">(</w:t>
      </w:r>
      <w:r>
        <w:rPr>
          <w:rStyle w:val="AttributeTok"/>
        </w:rPr>
        <w:t xml:space="preserve">format =</w:t>
      </w:r>
      <w:r>
        <w:rPr>
          <w:rStyle w:val="NormalTok"/>
        </w:rPr>
        <w:t xml:space="preserve"> </w:t>
      </w:r>
      <w:r>
        <w:rPr>
          <w:rStyle w:val="StringTok"/>
        </w:rPr>
        <w:t xml:space="preserve">"%H:%M"</w:t>
      </w:r>
      <w:r>
        <w:rPr>
          <w:rStyle w:val="NormalTok"/>
        </w:rPr>
        <w:t xml:space="preserve">))</w:t>
      </w:r>
      <w:r>
        <w:br/>
      </w:r>
      <w:r>
        <w:rPr>
          <w:rStyle w:val="FunctionTok"/>
        </w:rPr>
        <w:t xml:space="preserve">ggsave</w:t>
      </w:r>
      <w:r>
        <w:rPr>
          <w:rStyle w:val="NormalTok"/>
        </w:rPr>
        <w:t xml:space="preserve">(</w:t>
      </w:r>
      <w:r>
        <w:rPr>
          <w:rStyle w:val="StringTok"/>
        </w:rPr>
        <w:t xml:space="preserve">"manuscript/figures/Figure9.png"</w:t>
      </w:r>
      <w:r>
        <w:rPr>
          <w:rStyle w:val="NormalTok"/>
        </w:rPr>
        <w:t xml:space="preserve">,</w:t>
      </w:r>
      <w:r>
        <w:br/>
      </w:r>
      <w:r>
        <w:rPr>
          <w:rStyle w:val="NormalTok"/>
        </w:rPr>
        <w:t xml:space="preserve">                </w:t>
      </w:r>
      <w:r>
        <w:rPr>
          <w:rStyle w:val="AttributeTok"/>
        </w:rPr>
        <w:t xml:space="preserve">width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height =</w:t>
      </w:r>
      <w:r>
        <w:rPr>
          <w:rStyle w:val="NormalTok"/>
        </w:rPr>
        <w:t xml:space="preserve"> </w:t>
      </w:r>
      <w:r>
        <w:rPr>
          <w:rStyle w:val="DecValTok"/>
        </w:rPr>
        <w:t xml:space="preserve">4</w:t>
      </w:r>
      <w:r>
        <w:rPr>
          <w:rStyle w:val="NormalTok"/>
        </w:rPr>
        <w:t xml:space="preserve">)</w:t>
      </w:r>
    </w:p>
    <w:bookmarkEnd w:id="145"/>
    <w:p>
      <w:pPr>
        <w:pStyle w:val="DefinitionTerm"/>
      </w:pPr>
      <w:r>
        <w:t xml:space="preserve">Line 1</w:t>
      </w:r>
    </w:p>
    <w:p>
      <w:pPr>
        <w:pStyle w:val="Definition"/>
      </w:pPr>
      <w:r>
        <w:t xml:space="preserve">Prepare hourly binned data</w:t>
      </w:r>
    </w:p>
    <w:p>
      <w:pPr>
        <w:pStyle w:val="DefinitionTerm"/>
      </w:pPr>
      <w:r>
        <w:t xml:space="preserve">Line 2</w:t>
      </w:r>
    </w:p>
    <w:p>
      <w:pPr>
        <w:pStyle w:val="Definition"/>
      </w:pPr>
      <w:r>
        <w:t xml:space="preserve">Bin timestamps by hour</w:t>
      </w:r>
    </w:p>
    <w:p>
      <w:pPr>
        <w:pStyle w:val="DefinitionTerm"/>
      </w:pPr>
      <w:r>
        <w:t xml:space="preserve">Line 5</w:t>
      </w:r>
    </w:p>
    <w:p>
      <w:pPr>
        <w:pStyle w:val="Definition"/>
      </w:pPr>
      <w:r>
        <w:t xml:space="preserve">Add a Time column (hour of day)</w:t>
      </w:r>
    </w:p>
    <w:p>
      <w:pPr>
        <w:pStyle w:val="DefinitionTerm"/>
      </w:pPr>
      <w:r>
        <w:t xml:space="preserve">Line 8</w:t>
      </w:r>
    </w:p>
    <w:p>
      <w:pPr>
        <w:pStyle w:val="Definition"/>
      </w:pPr>
      <w:r>
        <w:t xml:space="preserve">Creating the plot</w:t>
      </w:r>
    </w:p>
    <w:tbl>
      <w:tblPr>
        <w:tblStyle w:val="Table"/>
        <w:tblW w:type="pct" w:w="5000"/>
        <w:tblLayout w:type="fixed"/>
        <w:tblLook w:firstRow="0" w:lastRow="0" w:firstColumn="0" w:lastColumn="0" w:noHBand="0" w:noVBand="0" w:val="0000"/>
      </w:tblPr>
      <w:tblGrid>
        <w:gridCol w:w="7920"/>
      </w:tblGrid>
      <w:tr>
        <w:tc>
          <w:tcPr/>
          <w:bookmarkStart w:id="149" w:name="fig-shorttime"/>
          <w:p>
            <w:pPr>
              <w:pStyle w:val="Compact"/>
              <w:jc w:val="center"/>
            </w:pPr>
            <w:r>
              <w:drawing>
                <wp:inline>
                  <wp:extent cx="5334000" cy="4267200"/>
                  <wp:effectExtent b="0" l="0" r="0" t="0"/>
                  <wp:docPr descr="" title="" id="147" name="Picture"/>
                  <a:graphic>
                    <a:graphicData uri="http://schemas.openxmlformats.org/drawingml/2006/picture">
                      <pic:pic>
                        <pic:nvPicPr>
                          <pic:cNvPr descr="index_files/figure-docx/fig-shorttime-1.png" id="148" name="Picture"/>
                          <pic:cNvPicPr>
                            <a:picLocks noChangeArrowheads="1" noChangeAspect="1"/>
                          </pic:cNvPicPr>
                        </pic:nvPicPr>
                        <pic:blipFill>
                          <a:blip r:embed="rId146"/>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9: Diurnal profile of short-wavelength light exposure. Each bar represents the average short-wavelength irradiance at that hour of the day (0–23 h), normalized to the daily maximum.</w:t>
            </w:r>
          </w:p>
          <w:bookmarkEnd w:id="149"/>
        </w:tc>
      </w:tr>
    </w:tbl>
    <w:p>
      <w:pPr>
        <w:pStyle w:val="Heading4"/>
      </w:pPr>
      <w:r>
        <w:t xml:space="preserve">Day vs. night (photoperiod)</w:t>
      </w:r>
    </w:p>
    <w:p>
      <w:pPr>
        <w:pStyle w:val="FirstParagraph"/>
      </w:pPr>
      <w:r>
        <w:t xml:space="preserve">Finally, we compare short-wavelength exposure during daytime vs. nighttime. Using civil dawn and dusk information (based on geographic coordinates, here set for Houston, TX, USA), we label each measurement as day or night and then compute the total short-wavelength exposure in each period.</w:t>
      </w:r>
      <w:r>
        <w:t xml:space="preserve"> </w:t>
      </w:r>
      <w:hyperlink w:anchor="tbl-daytime">
        <w:r>
          <w:rPr>
            <w:rStyle w:val="Hyperlink"/>
          </w:rPr>
          <w:t xml:space="preserve">Table 18</w:t>
        </w:r>
      </w:hyperlink>
      <w:r>
        <w:t xml:space="preserve"> </w:t>
      </w:r>
      <w:r>
        <w:t xml:space="preserve">summarizes the daily short-wavelength dose received during the day vs. during the night.</w:t>
      </w:r>
    </w:p>
    <w:p>
      <w:pPr>
        <w:pStyle w:val="SourceCode"/>
      </w:pPr>
      <w:r>
        <w:rPr>
          <w:rStyle w:val="NormalTok"/>
        </w:rPr>
        <w:t xml:space="preserve">dataVEET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FunctionTok"/>
        </w:rPr>
        <w:t xml:space="preserve">c</w:t>
      </w:r>
      <w:r>
        <w:rPr>
          <w:rStyle w:val="NormalTok"/>
        </w:rPr>
        <w:t xml:space="preserve">(Spectrum, long, </w:t>
      </w:r>
      <w:r>
        <w:rPr>
          <w:rStyle w:val="StringTok"/>
        </w:rPr>
        <w:t xml:space="preserve">`</w:t>
      </w:r>
      <w:r>
        <w:rPr>
          <w:rStyle w:val="AttributeTok"/>
        </w:rPr>
        <w:t xml:space="preserve">sl ratio</w:t>
      </w:r>
      <w:r>
        <w:rPr>
          <w:rStyle w:val="StringTok"/>
        </w:rPr>
        <w:t xml:space="preserve">`</w:t>
      </w:r>
      <w:r>
        <w:rPr>
          <w:rStyle w:val="NormalTok"/>
        </w:rPr>
        <w:t xml:space="preserve">, melEDI, illuminance)) </w:t>
      </w:r>
      <w:r>
        <w:rPr>
          <w:rStyle w:val="SpecialCharTok"/>
        </w:rPr>
        <w:t xml:space="preserve">|&gt;</w:t>
      </w:r>
      <w:r>
        <w:br/>
      </w:r>
      <w:r>
        <w:rPr>
          <w:rStyle w:val="NormalTok"/>
        </w:rPr>
        <w:t xml:space="preserve">  </w:t>
      </w:r>
      <w:r>
        <w:rPr>
          <w:rStyle w:val="FunctionTok"/>
        </w:rPr>
        <w:t xml:space="preserve">add_photoperiod</w:t>
      </w:r>
      <w:r>
        <w:rPr>
          <w:rStyle w:val="NormalTok"/>
        </w:rPr>
        <w:t xml:space="preserve">(coordinates)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(photoperiod.state, </w:t>
      </w:r>
      <w:r>
        <w:rPr>
          <w:rStyle w:val="AttributeTok"/>
        </w:rPr>
        <w:t xml:space="preserve">.add =</w:t>
      </w:r>
      <w:r>
        <w:rPr>
          <w:rStyle w:val="NormalTok"/>
        </w:rPr>
        <w:t xml:space="preserve"> </w:t>
      </w:r>
      <w:r>
        <w:rPr>
          <w:rStyle w:val="ConstantTok"/>
        </w:rPr>
        <w:t xml:space="preserve">TRUE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summarize_numeric</w:t>
      </w:r>
      <w:r>
        <w:rPr>
          <w:rStyle w:val="NormalTok"/>
        </w:rPr>
        <w:t xml:space="preserve">(</w:t>
      </w:r>
      <w:r>
        <w:rPr>
          <w:rStyle w:val="AttributeTok"/>
        </w:rPr>
        <w:t xml:space="preserve">prefix =</w:t>
      </w:r>
      <w:r>
        <w:rPr>
          <w:rStyle w:val="NormalTok"/>
        </w:rPr>
        <w:t xml:space="preserve"> </w:t>
      </w:r>
      <w:r>
        <w:rPr>
          <w:rStyle w:val="StringTok"/>
        </w:rPr>
        <w:t xml:space="preserve">""</w:t>
      </w:r>
      <w:r>
        <w:rPr>
          <w:rStyle w:val="NormalTok"/>
        </w:rPr>
        <w:t xml:space="preserve">, </w:t>
      </w:r>
      <w:r>
        <w:br/>
      </w:r>
      <w:r>
        <w:rPr>
          <w:rStyle w:val="NormalTok"/>
        </w:rPr>
        <w:t xml:space="preserve">                    </w:t>
      </w:r>
      <w:r>
        <w:rPr>
          <w:rStyle w:val="AttributeTok"/>
        </w:rPr>
        <w:t xml:space="preserve">remove =</w:t>
      </w:r>
      <w:r>
        <w:rPr>
          <w:rStyle w:val="NormalTok"/>
        </w:rPr>
        <w:t xml:space="preserve"> </w:t>
      </w:r>
      <w:r>
        <w:rPr>
          <w:rStyle w:val="FunctionTok"/>
        </w:rPr>
        <w:t xml:space="preserve">c</w:t>
      </w:r>
      <w:r>
        <w:rPr>
          <w:rStyle w:val="NormalTok"/>
        </w:rPr>
        <w:t xml:space="preserve">(</w:t>
      </w:r>
      <w:r>
        <w:rPr>
          <w:rStyle w:val="StringTok"/>
        </w:rPr>
        <w:t xml:space="preserve">"dawn"</w:t>
      </w:r>
      <w:r>
        <w:rPr>
          <w:rStyle w:val="NormalTok"/>
        </w:rPr>
        <w:t xml:space="preserve">, </w:t>
      </w:r>
      <w:r>
        <w:rPr>
          <w:rStyle w:val="StringTok"/>
        </w:rPr>
        <w:t xml:space="preserve">"dusk"</w:t>
      </w:r>
      <w:r>
        <w:rPr>
          <w:rStyle w:val="NormalTok"/>
        </w:rPr>
        <w:t xml:space="preserve">, </w:t>
      </w:r>
      <w:r>
        <w:rPr>
          <w:rStyle w:val="StringTok"/>
        </w:rPr>
        <w:t xml:space="preserve">"photoperiod"</w:t>
      </w:r>
      <w:r>
        <w:rPr>
          <w:rStyle w:val="NormalTok"/>
        </w:rPr>
        <w:t xml:space="preserve">, </w:t>
      </w:r>
      <w:r>
        <w:rPr>
          <w:rStyle w:val="StringTok"/>
        </w:rPr>
        <w:t xml:space="preserve">"Datetime"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(Id, photoperiod.state)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episodes) </w:t>
      </w:r>
      <w:r>
        <w:rPr>
          <w:rStyle w:val="SpecialCharTok"/>
        </w:rPr>
        <w:t xml:space="preserve">|&gt;</w:t>
      </w:r>
      <w:r>
        <w:rPr>
          <w:rStyle w:val="NormalTok"/>
        </w:rPr>
        <w:t xml:space="preserve"> </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photoperiod.state, </w:t>
      </w:r>
      <w:r>
        <w:rPr>
          <w:rStyle w:val="AttributeTok"/>
        </w:rPr>
        <w:t xml:space="preserve">values_from =</w:t>
      </w:r>
      <w:r>
        <w:rPr>
          <w:rStyle w:val="NormalTok"/>
        </w:rPr>
        <w:t xml:space="preserve"> short)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fmt_number</w:t>
      </w:r>
      <w:r>
        <w:rPr>
          <w:rStyle w:val="NormalTok"/>
        </w:rPr>
        <w:t xml:space="preserve">(</w:t>
      </w:r>
      <w:r>
        <w:rPr>
          <w:rStyle w:val="AttributeTok"/>
        </w:rPr>
        <w:t xml:space="preserve">scale_by =</w:t>
      </w:r>
      <w:r>
        <w:rPr>
          <w:rStyle w:val="NormalTok"/>
        </w:rPr>
        <w:t xml:space="preserve"> </w:t>
      </w:r>
      <w:r>
        <w:rPr>
          <w:rStyle w:val="DecValTok"/>
        </w:rPr>
        <w:t xml:space="preserve">1000</w:t>
      </w:r>
      <w:r>
        <w:rPr>
          <w:rStyle w:val="NormalTok"/>
        </w:rPr>
        <w:t xml:space="preserve">, </w:t>
      </w:r>
      <w:r>
        <w:rPr>
          <w:rStyle w:val="AttributeTok"/>
        </w:rPr>
        <w:t xml:space="preserve">decimals =</w:t>
      </w:r>
      <w:r>
        <w:rPr>
          <w:rStyle w:val="NormalTok"/>
        </w:rPr>
        <w:t xml:space="preserve"> </w:t>
      </w:r>
      <w:r>
        <w:rPr>
          <w:rStyle w:val="DecValTok"/>
        </w:rPr>
        <w:t xml:space="preserve">1</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50" w:name="tbl-daytime"/>
          <w:p>
            <w:pPr>
              <w:jc w:val="center"/>
            </w:pPr>
            <w:pPr>
              <w:jc w:val="left"/>
              <w:spacing w:before="200"/>
              <w:pStyle w:val="ImageCaption"/>
            </w:pPr>
            <w:r>
              <w:t xml:space="preserve">Table 18: Short wavelength light exposure (mW/m²) during the day and at night</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Date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day</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night</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3"/>
                </w:tcPr>
                <w:p>
                  <w:pPr>
                    <w:spacing w:before="0" w:after="60"/>
                    <w:keepNext/>
                  </w:pPr>
                  <w:r>
                    <w:rPr>
                      <w:rFonts w:ascii="Calibri" w:hAnsi="Calibri"/>
                      <w:sz w:val="20"/>
                    </w:rPr>
                    <w:t xml:space="default">VEET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2025-06-18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2025-06-20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r>
          </w:tbl>
          <w:bookmarkEnd w:id="150"/>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1" name="Picture"/>
                  <a:graphic>
                    <a:graphicData uri="http://schemas.openxmlformats.org/drawingml/2006/picture">
                      <pic:pic>
                        <pic:nvPicPr>
                          <pic:cNvPr descr="/Applications/quarto/share/formats/docx/note.png" id="152"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In the above,</w:t>
            </w:r>
            <w:r>
              <w:t xml:space="preserve"> </w:t>
            </w:r>
            <w:r>
              <w:rPr>
                <w:rStyle w:val="VerbatimChar"/>
              </w:rPr>
              <w:t xml:space="preserve">add_photoperiod(coordinates)</w:t>
            </w:r>
            <w:r>
              <w:t xml:space="preserve"> </w:t>
            </w:r>
            <w:r>
              <w:t xml:space="preserve">is used as a convenient way to add columns to the data frame, indicating for each timestamp whether it was day or night, given the latitude/longitude.</w:t>
            </w:r>
          </w:p>
          <w:p/>
        </w:tc>
      </w:tr>
    </w:tbl>
    <w:bookmarkEnd w:id="153"/>
    <w:bookmarkEnd w:id="154"/>
    <w:bookmarkStart w:id="155" w:name="discussion-and-conclusion"/>
    <w:p>
      <w:pPr>
        <w:pStyle w:val="Heading2"/>
      </w:pPr>
      <w:r>
        <w:t xml:space="preserve">Discussion and conclusion</w:t>
      </w:r>
    </w:p>
    <w:p>
      <w:pPr>
        <w:pStyle w:val="FirstParagraph"/>
      </w:pPr>
      <w:r>
        <w:t xml:space="preserve">This tutorial demonstrates a standardized, step-by-step pipeline to calculate a variety of visual experience metrics. We illustrated how a combination of LightLogR functions and tidyverse workflows can yield clear and reproducible analyses for wearable device data. While the full pipeline is detailed, each metric is computed through a dedicated sequence of well-documented steps, yet remains configurable to realize different metric definitions or thresholds.</w:t>
      </w:r>
    </w:p>
    <w:p>
      <w:pPr>
        <w:pStyle w:val="BodyText"/>
      </w:pPr>
      <w:r>
        <w:t xml:space="preserve">By leveraging LightLogR’s framework alongside common data analysis approaches, the process remains transparent and relatively easy to follow. The overall goal is to make analysis transparent (with open-source functions), accessible (through thorough documentation, tutorials, and human-readable function naming, all under an MIT license), robust (the package includes &gt;900 unit tests and continuous integration with bug tracking on GitHub), and community-driven (open feature requests and contributions via GitHub).</w:t>
      </w:r>
    </w:p>
    <w:p>
      <w:pPr>
        <w:pStyle w:val="BodyText"/>
      </w:pPr>
      <w:r>
        <w:t xml:space="preserve">Even with standardized pipelines, researchers must still make and document many decisions during data cleaning, time-series handling, and metric calculations — especially for complex metrics that involve grouping data in multiple ways (for example, grouping by distance range as well as by duration for cluster metrics). We have highlighted these decision points in the tutorial (such as how to handle irregular intervals, choosing thresholds for</w:t>
      </w:r>
      <w:r>
        <w:t xml:space="preserve"> </w:t>
      </w:r>
      <w:r>
        <w:t xml:space="preserve">“near”</w:t>
      </w:r>
      <w:r>
        <w:t xml:space="preserve"> </w:t>
      </w:r>
      <w:r>
        <w:t xml:space="preserve">distances or</w:t>
      </w:r>
      <w:r>
        <w:t xml:space="preserve"> </w:t>
      </w:r>
      <w:r>
        <w:t xml:space="preserve">“outdoor”</w:t>
      </w:r>
      <w:r>
        <w:t xml:space="preserve"> </w:t>
      </w:r>
      <w:r>
        <w:t xml:space="preserve">light, and deciding on minimum durations for sustained events). Explicitly considering and reporting these choices is important for reproducibility and for comparing results across studies.</w:t>
      </w:r>
    </w:p>
    <w:p>
      <w:pPr>
        <w:pStyle w:val="BodyText"/>
      </w:pPr>
      <w:r>
        <w:t xml:space="preserve">The broad set of features in LightLogR — ranging from data import and cleaning tools (for handling time gaps and irregularities) to visualization functions and metric calculators — make it a powerful toolkit for visual experience research. Our examples spanned circadian-light metrics and myopia-related metrics, demonstrating the versatility of a unified analysis approach. By using community-supported tools and workflows, researchers in vision science, chronobiology, myopia, and related fields can reduce time spent on low-level data wrangling and focus more on interpreting results and advancing scientific understanding.</w:t>
      </w:r>
    </w:p>
    <w:bookmarkEnd w:id="155"/>
    <w:bookmarkStart w:id="156" w:name="sessioninfo"/>
    <w:p>
      <w:pPr>
        <w:pStyle w:val="Heading2"/>
      </w:pPr>
      <w:r>
        <w:t xml:space="preserve">Session info</w:t>
      </w:r>
    </w:p>
    <w:p>
      <w:pPr>
        <w:pStyle w:val="SourceCode"/>
      </w:pPr>
      <w:r>
        <w:rPr>
          <w:rStyle w:val="FunctionTok"/>
        </w:rPr>
        <w:t xml:space="preserve">sessionInfo</w:t>
      </w:r>
      <w:r>
        <w:rPr>
          <w:rStyle w:val="NormalTok"/>
        </w:rPr>
        <w:t xml:space="preserve">()</w:t>
      </w:r>
    </w:p>
    <w:p>
      <w:pPr>
        <w:pStyle w:val="SourceCode"/>
      </w:pPr>
      <w:r>
        <w:rPr>
          <w:rStyle w:val="VerbatimChar"/>
        </w:rPr>
        <w:t xml:space="preserve">R version 4.5.0 (2025-04-11)</w:t>
      </w:r>
      <w:r>
        <w:br/>
      </w:r>
      <w:r>
        <w:rPr>
          <w:rStyle w:val="VerbatimChar"/>
        </w:rPr>
        <w:t xml:space="preserve">Platform: aarch64-apple-darwin20</w:t>
      </w:r>
      <w:r>
        <w:br/>
      </w:r>
      <w:r>
        <w:rPr>
          <w:rStyle w:val="VerbatimChar"/>
        </w:rPr>
        <w:t xml:space="preserve">Running under: macOS 26.1</w:t>
      </w:r>
      <w:r>
        <w:br/>
      </w:r>
      <w:r>
        <w:br/>
      </w:r>
      <w:r>
        <w:rPr>
          <w:rStyle w:val="VerbatimChar"/>
        </w:rPr>
        <w:t xml:space="preserve">Matrix products: default</w:t>
      </w:r>
      <w:r>
        <w:br/>
      </w:r>
      <w:r>
        <w:rPr>
          <w:rStyle w:val="VerbatimChar"/>
        </w:rPr>
        <w:t xml:space="preserve">BLAS:   /Library/Frameworks/R.framework/Versions/4.5-arm64/Resources/lib/libRblas.0.dylib </w:t>
      </w:r>
      <w:r>
        <w:br/>
      </w:r>
      <w:r>
        <w:rPr>
          <w:rStyle w:val="VerbatimChar"/>
        </w:rPr>
        <w:t xml:space="preserve">LAPACK: /Library/Frameworks/R.framework/Versions/4.5-arm64/Resources/lib/libRlapack.dylib;  LAPACK version 3.12.1</w:t>
      </w:r>
      <w:r>
        <w:br/>
      </w:r>
      <w:r>
        <w:br/>
      </w:r>
      <w:r>
        <w:rPr>
          <w:rStyle w:val="VerbatimChar"/>
        </w:rPr>
        <w:t xml:space="preserve">locale:</w:t>
      </w:r>
      <w:r>
        <w:br/>
      </w:r>
      <w:r>
        <w:rPr>
          <w:rStyle w:val="VerbatimChar"/>
        </w:rPr>
        <w:t xml:space="preserve">[1] en_US.UTF-8/en_US.UTF-8/en_US.UTF-8/C/en_US.UTF-8/en_US.UTF-8</w:t>
      </w:r>
      <w:r>
        <w:br/>
      </w:r>
      <w:r>
        <w:br/>
      </w:r>
      <w:r>
        <w:rPr>
          <w:rStyle w:val="VerbatimChar"/>
        </w:rPr>
        <w:t xml:space="preserve">time zone: Europe/Berlin</w:t>
      </w:r>
      <w:r>
        <w:br/>
      </w:r>
      <w:r>
        <w:rPr>
          <w:rStyle w:val="VerbatimChar"/>
        </w:rPr>
        <w:t xml:space="preserve">tzcode source: internal</w:t>
      </w:r>
      <w:r>
        <w:br/>
      </w:r>
      <w:r>
        <w:br/>
      </w:r>
      <w:r>
        <w:rPr>
          <w:rStyle w:val="VerbatimChar"/>
        </w:rPr>
        <w:t xml:space="preserve">attached base packages:</w:t>
      </w:r>
      <w:r>
        <w:br/>
      </w:r>
      <w:r>
        <w:rPr>
          <w:rStyle w:val="VerbatimChar"/>
        </w:rPr>
        <w:t xml:space="preserve">[1] stats     graphics  grDevices datasets  utils     methods   base     </w:t>
      </w:r>
      <w:r>
        <w:br/>
      </w:r>
      <w:r>
        <w:br/>
      </w:r>
      <w:r>
        <w:rPr>
          <w:rStyle w:val="VerbatimChar"/>
        </w:rPr>
        <w:t xml:space="preserve">other attached packages:</w:t>
      </w:r>
      <w:r>
        <w:br/>
      </w:r>
      <w:r>
        <w:rPr>
          <w:rStyle w:val="VerbatimChar"/>
        </w:rPr>
        <w:t xml:space="preserve"> [1] gt_1.1.0         lubridate_1.9.4  forcats_1.0.1    stringr_1.6.0   </w:t>
      </w:r>
      <w:r>
        <w:br/>
      </w:r>
      <w:r>
        <w:rPr>
          <w:rStyle w:val="VerbatimChar"/>
        </w:rPr>
        <w:t xml:space="preserve"> [5] dplyr_1.1.4      purrr_1.2.0      readr_2.1.6      tidyr_1.3.1     </w:t>
      </w:r>
      <w:r>
        <w:br/>
      </w:r>
      <w:r>
        <w:rPr>
          <w:rStyle w:val="VerbatimChar"/>
        </w:rPr>
        <w:t xml:space="preserve"> [9] tibble_3.3.0     ggplot2_4.0.1    tidyverse_2.0.0  LightLogR_0.10.0</w:t>
      </w:r>
      <w:r>
        <w:br/>
      </w:r>
      <w:r>
        <w:br/>
      </w:r>
      <w:r>
        <w:rPr>
          <w:rStyle w:val="VerbatimChar"/>
        </w:rPr>
        <w:t xml:space="preserve">loaded via a namespace (and not attached):</w:t>
      </w:r>
      <w:r>
        <w:br/>
      </w:r>
      <w:r>
        <w:rPr>
          <w:rStyle w:val="VerbatimChar"/>
        </w:rPr>
        <w:t xml:space="preserve"> [1] generics_0.1.4     renv_1.1.5         class_7.3-23       xml2_1.5.1        </w:t>
      </w:r>
      <w:r>
        <w:br/>
      </w:r>
      <w:r>
        <w:rPr>
          <w:rStyle w:val="VerbatimChar"/>
        </w:rPr>
        <w:t xml:space="preserve"> [5] KernSmooth_2.23-26 stringi_1.8.7      hms_1.1.4          digest_0.6.39     </w:t>
      </w:r>
      <w:r>
        <w:br/>
      </w:r>
      <w:r>
        <w:rPr>
          <w:rStyle w:val="VerbatimChar"/>
        </w:rPr>
        <w:t xml:space="preserve"> [9] magrittr_2.0.4     evaluate_1.0.5     grid_4.5.0         timechange_0.3.0  </w:t>
      </w:r>
      <w:r>
        <w:br/>
      </w:r>
      <w:r>
        <w:rPr>
          <w:rStyle w:val="VerbatimChar"/>
        </w:rPr>
        <w:t xml:space="preserve">[13] RColorBrewer_1.1-3 fastmap_1.2.0      jsonlite_2.0.0     e1071_1.7-16      </w:t>
      </w:r>
      <w:r>
        <w:br/>
      </w:r>
      <w:r>
        <w:rPr>
          <w:rStyle w:val="VerbatimChar"/>
        </w:rPr>
        <w:t xml:space="preserve">[17] DBI_1.2.3          viridisLite_0.4.2  scales_1.4.0       textshaping_1.0.4 </w:t>
      </w:r>
      <w:r>
        <w:br/>
      </w:r>
      <w:r>
        <w:rPr>
          <w:rStyle w:val="VerbatimChar"/>
        </w:rPr>
        <w:t xml:space="preserve">[21] cli_3.6.5          rlang_1.1.6        units_1.0-0        cowplot_1.2.0     </w:t>
      </w:r>
      <w:r>
        <w:br/>
      </w:r>
      <w:r>
        <w:rPr>
          <w:rStyle w:val="VerbatimChar"/>
        </w:rPr>
        <w:t xml:space="preserve">[25] withr_3.0.2        yaml_2.3.12        tools_4.5.0        tzdb_0.5.0        </w:t>
      </w:r>
      <w:r>
        <w:br/>
      </w:r>
      <w:r>
        <w:rPr>
          <w:rStyle w:val="VerbatimChar"/>
        </w:rPr>
        <w:t xml:space="preserve">[29] vctrs_0.6.5        R6_2.6.1           proxy_0.4-27       classInt_0.4-11   </w:t>
      </w:r>
      <w:r>
        <w:br/>
      </w:r>
      <w:r>
        <w:rPr>
          <w:rStyle w:val="VerbatimChar"/>
        </w:rPr>
        <w:t xml:space="preserve">[33] lifecycle_1.0.4    fs_1.6.6           ragg_1.5.0         pkgconfig_2.0.3   </w:t>
      </w:r>
      <w:r>
        <w:br/>
      </w:r>
      <w:r>
        <w:rPr>
          <w:rStyle w:val="VerbatimChar"/>
        </w:rPr>
        <w:t xml:space="preserve">[37] pillar_1.11.1      gtable_0.3.6       Rcpp_1.1.0         glue_1.8.0        </w:t>
      </w:r>
      <w:r>
        <w:br/>
      </w:r>
      <w:r>
        <w:rPr>
          <w:rStyle w:val="VerbatimChar"/>
        </w:rPr>
        <w:t xml:space="preserve">[41] sf_1.0-23          systemfonts_1.3.1  xfun_0.54          tidyselect_1.2.1  </w:t>
      </w:r>
      <w:r>
        <w:br/>
      </w:r>
      <w:r>
        <w:rPr>
          <w:rStyle w:val="VerbatimChar"/>
        </w:rPr>
        <w:t xml:space="preserve">[45] rstudioapi_0.17.1  knitr_1.50         farver_2.1.2       htmltools_0.5.9   </w:t>
      </w:r>
      <w:r>
        <w:br/>
      </w:r>
      <w:r>
        <w:rPr>
          <w:rStyle w:val="VerbatimChar"/>
        </w:rPr>
        <w:t xml:space="preserve">[49] rmarkdown_2.30     ggsci_4.1.0        labeling_0.4.3     suntools_1.1.0    </w:t>
      </w:r>
      <w:r>
        <w:br/>
      </w:r>
      <w:r>
        <w:rPr>
          <w:rStyle w:val="VerbatimChar"/>
        </w:rPr>
        <w:t xml:space="preserve">[53] compiler_4.5.0     S7_0.2.1          </w:t>
      </w:r>
    </w:p>
    <w:bookmarkEnd w:id="156"/>
    <w:bookmarkStart w:id="162" w:name="statements"/>
    <w:p>
      <w:pPr>
        <w:pStyle w:val="Heading2"/>
      </w:pPr>
      <w:r>
        <w:t xml:space="preserve">Statements</w:t>
      </w:r>
    </w:p>
    <w:bookmarkStart w:id="157" w:name="data-availability-statement"/>
    <w:p>
      <w:pPr>
        <w:pStyle w:val="Heading3"/>
      </w:pPr>
      <w:r>
        <w:t xml:space="preserve">Data availability statement</w:t>
      </w:r>
    </w:p>
    <w:p>
      <w:pPr>
        <w:pStyle w:val="FirstParagraph"/>
      </w:pPr>
      <w:r>
        <w:t xml:space="preserve">All data and code in this tutorial and Supplement 1 are available from the GitHub repository: https://github.com/tscnlab/ZaunerEtAl_JVis_2026/, archived on Zenodo: https://doi.org/10.5281/zenodo.16566014 under a MIT license (data under CC-BY license).</w:t>
      </w:r>
    </w:p>
    <w:bookmarkEnd w:id="157"/>
    <w:bookmarkStart w:id="158" w:name="funding-statement"/>
    <w:p>
      <w:pPr>
        <w:pStyle w:val="Heading3"/>
      </w:pPr>
      <w:r>
        <w:t xml:space="preserve">Funding statement</w:t>
      </w:r>
    </w:p>
    <w:p>
      <w:pPr>
        <w:pStyle w:val="FirstParagraph"/>
      </w:pPr>
      <w:r>
        <w:t xml:space="preserve">JZ’s position is funded by the MeLiDos project. The project has received funding from the European Partnership on Metrology (22NRM05 MeLiDos), co-financed from the European Union’s Horizon Europe Research and Innovation Programme and by the Participating States. Views and opinions expressed are however those of the author(s) only and do not necessarily reflect those of the European Union or EURAMET. Neither the European Union nor the granting authority can be held responsible for them. JZ, LAO, and MS received research funding from Reality Labs Research. The funders had no role in study design, data collection and analysis, decision to publish or preparation of the manuscript.</w:t>
      </w:r>
    </w:p>
    <w:bookmarkEnd w:id="158"/>
    <w:bookmarkStart w:id="159" w:name="conflict-of-interest-statement"/>
    <w:p>
      <w:pPr>
        <w:pStyle w:val="Heading3"/>
      </w:pPr>
      <w:r>
        <w:t xml:space="preserve">Conflict of interest statement</w:t>
      </w:r>
    </w:p>
    <w:p>
      <w:pPr>
        <w:pStyle w:val="FirstParagraph"/>
      </w:pPr>
      <w:r>
        <w:t xml:space="preserve">JZ declares the following potential conflict of interest in the past five years (2021-2025). Funding: Received research funding from Reality Labs Research.</w:t>
      </w:r>
    </w:p>
    <w:p>
      <w:pPr>
        <w:pStyle w:val="BodyText"/>
      </w:pPr>
      <w:r>
        <w:t xml:space="preserve">AN declares the following potential conflicts of interest in the past five years (2021-2025). none</w:t>
      </w:r>
    </w:p>
    <w:p>
      <w:pPr>
        <w:pStyle w:val="BodyText"/>
      </w:pPr>
      <w:r>
        <w:t xml:space="preserve">LAO declares the following potential conflict of interest in the past five years (2021-2025). Consultancy: Zeiss, Alcon, EssilorLuxottica; Research support: Topcon, Meta, LLC; Patents: US 11375890 B2</w:t>
      </w:r>
    </w:p>
    <w:p>
      <w:pPr>
        <w:pStyle w:val="BodyText"/>
      </w:pPr>
      <w:r>
        <w:t xml:space="preserve">MS declares the following potential conflicts of interest in the past five years (2021–2025). Academic roles: Member of the Board of Directors, Society of Light, Rhythms, and Circadian Health (SLRCH); Chair of Joint Technical Committee 20 (JTC20) of the International Commission on Illumination (CIE); Member of the Daylight Academy; Chair of Research Data Alliance Working Group Optical Radiation and Visual Experience Data. Remunerated roles: Speaker of the Steering Committee of the Daylight Academy; Ad-hoc reviewer for the Health and Digital Executive Agency of the European Commission; Ad-hoc reviewer for the Swedish Research Council; Associate Editor for LEUKOS, journal of the Illuminating Engineering Society; Examiner, University of Manchester; Examiner, Flinders University; Examiner, University of Southern Norway. Funding: Received research funding and support from the Max Planck Society, Max Planck Foundation, Max Planck Innovation, Technical University of Munich, Wellcome Trust, National Research Foundation Singapore, European Partnership on Metrology, VELUX Foundation, Bayerisch-Tschechische Hochschulagentur (BTHA), BayFrance (Bayerisch-Französisches Hochschulzentrum), BayFOR (Bayerische Forschungsallianz), and Reality Labs Research. Honoraria for talks: Received honoraria from the ISGlobal, Research Foundation of the City University of New York and the Stadt Ebersberg, Museum Wald und Umwelt. Travel reimbursements: Daimler und Benz Stiftung. Patents: Named on European Patent Application EP23159999.4A (</w:t>
      </w:r>
      <w:r>
        <w:t xml:space="preserve">“System and method for corneal-plane physiologically-relevant light logging with an application to personalized light interventions related to health and well-being”</w:t>
      </w:r>
      <w:r>
        <w:t xml:space="preserve">). With the exception of the funding source supporting this work, M.S. declares no influence of the disclosed roles or relationships on the work presented herein.</w:t>
      </w:r>
    </w:p>
    <w:bookmarkEnd w:id="159"/>
    <w:bookmarkStart w:id="161" w:name="X0f60d31e05d800fd930b59ab5cd6750e4dc8f0d"/>
    <w:p>
      <w:pPr>
        <w:pStyle w:val="Heading3"/>
      </w:pPr>
      <w:r>
        <w:t xml:space="preserve">Statement of generative AI and AI-assisted technologies in the writing process</w:t>
      </w:r>
    </w:p>
    <w:p>
      <w:pPr>
        <w:pStyle w:val="FirstParagraph"/>
      </w:pPr>
      <w:r>
        <w:t xml:space="preserve">The authors used ChatGPT during the preparation of this work. After using this tool, the authors reviewed and edited the content as needed and take full responsibility for the content of the publication.</w:t>
      </w:r>
    </w:p>
    <w:p>
      <w:pPr>
        <w:pStyle w:val="BodyText"/>
      </w:pPr>
      <w:r>
        <w:t xml:space="preserve">Use of AI in contributor roles</w:t>
      </w:r>
      <w:r>
        <w:t xml:space="preserve"> </w:t>
      </w:r>
      <w:r>
        <w:rPr>
          <w:rStyle w:val="FootnoteReference"/>
        </w:rPr>
        <w:footnoteReference w:id="160"/>
      </w:r>
      <w:r>
        <w:t xml:space="preserve">:</w:t>
      </w:r>
      <w:r>
        <w:t xml:space="preserve"> </w:t>
      </w:r>
      <w:r>
        <w:t xml:space="preserve">Conceptualization: no</w:t>
      </w:r>
      <w:r>
        <w:t xml:space="preserve"> </w:t>
      </w:r>
      <w:r>
        <w:t xml:space="preserve">Data curation: no</w:t>
      </w:r>
      <w:r>
        <w:t xml:space="preserve"> </w:t>
      </w:r>
      <w:r>
        <w:t xml:space="preserve">Formal analysis: bug fixing</w:t>
      </w:r>
      <w:r>
        <w:t xml:space="preserve"> </w:t>
      </w:r>
      <w:r>
        <w:t xml:space="preserve">Methodology: no</w:t>
      </w:r>
      <w:r>
        <w:t xml:space="preserve"> </w:t>
      </w:r>
      <w:r>
        <w:t xml:space="preserve">Software: bug fixing</w:t>
      </w:r>
      <w:r>
        <w:t xml:space="preserve"> </w:t>
      </w:r>
      <w:r>
        <w:t xml:space="preserve">Validation: no</w:t>
      </w:r>
      <w:r>
        <w:t xml:space="preserve"> </w:t>
      </w:r>
      <w:r>
        <w:t xml:space="preserve">Visualization: tweaking of options</w:t>
      </w:r>
      <w:r>
        <w:t xml:space="preserve"> </w:t>
      </w:r>
      <w:r>
        <w:t xml:space="preserve">Writing – original draft: abstract refinement</w:t>
      </w:r>
      <w:r>
        <w:t xml:space="preserve"> </w:t>
      </w:r>
      <w:r>
        <w:t xml:space="preserve">Writing – review &amp; editing: improve readability and language</w:t>
      </w:r>
    </w:p>
    <w:bookmarkEnd w:id="161"/>
    <w:bookmarkEnd w:id="162"/>
    <w:bookmarkStart w:id="221" w:name="references"/>
    <w:p>
      <w:pPr>
        <w:pStyle w:val="Heading2"/>
      </w:pPr>
      <w:r>
        <w:t xml:space="preserve">References</w:t>
      </w:r>
    </w:p>
    <w:bookmarkStart w:id="220" w:name="refs"/>
    <w:bookmarkStart w:id="164" w:name="ref-Bhandari2020OphthalmicPhysiolOpt"/>
    <w:p>
      <w:pPr>
        <w:pStyle w:val="Bibliography"/>
      </w:pPr>
      <w:r>
        <w:t xml:space="preserve">Bhandari, Khob R, and Lisa A Ostrin. 2020.</w:t>
      </w:r>
      <w:r>
        <w:t xml:space="preserve"> </w:t>
      </w:r>
      <w:r>
        <w:t xml:space="preserve">“Validation of the Clouclip and Utility in Measuring Viewing Distance in Adults.”</w:t>
      </w:r>
      <w:r>
        <w:t xml:space="preserve"> </w:t>
      </w:r>
      <w:r>
        <w:rPr>
          <w:i/>
          <w:iCs/>
        </w:rPr>
        <w:t xml:space="preserve">Ophthalmic and Physiological Optics</w:t>
      </w:r>
      <w:r>
        <w:t xml:space="preserve"> </w:t>
      </w:r>
      <w:r>
        <w:t xml:space="preserve">40 (6): 801–14. https://doi.org/</w:t>
      </w:r>
      <w:hyperlink r:id="rId163">
        <w:r>
          <w:rPr>
            <w:rStyle w:val="Hyperlink"/>
          </w:rPr>
          <w:t xml:space="preserve">https://doi.org/10.1111/opo.12735</w:t>
        </w:r>
      </w:hyperlink>
      <w:r>
        <w:t xml:space="preserve">.</w:t>
      </w:r>
    </w:p>
    <w:bookmarkEnd w:id="164"/>
    <w:bookmarkStart w:id="166" w:name="ref-Biller2024CommunPsychol"/>
    <w:p>
      <w:pPr>
        <w:pStyle w:val="Bibliography"/>
      </w:pPr>
      <w:r>
        <w:t xml:space="preserve">Biller, A. M., P. Balakrishnan, and M. Spitschan. 2024.</w:t>
      </w:r>
      <w:r>
        <w:t xml:space="preserve"> </w:t>
      </w:r>
      <w:r>
        <w:t xml:space="preserve">“Behavioural Determinants of Physiologically-Relevant Light Exposure.”</w:t>
      </w:r>
      <w:r>
        <w:t xml:space="preserve"> </w:t>
      </w:r>
      <w:r>
        <w:t xml:space="preserve">Journal Article.</w:t>
      </w:r>
      <w:r>
        <w:t xml:space="preserve"> </w:t>
      </w:r>
      <w:r>
        <w:rPr>
          <w:i/>
          <w:iCs/>
        </w:rPr>
        <w:t xml:space="preserve">Commun Psychol</w:t>
      </w:r>
      <w:r>
        <w:t xml:space="preserve"> </w:t>
      </w:r>
      <w:r>
        <w:t xml:space="preserve">2 (1): 114.</w:t>
      </w:r>
      <w:r>
        <w:t xml:space="preserve"> </w:t>
      </w:r>
      <w:hyperlink r:id="rId165">
        <w:r>
          <w:rPr>
            <w:rStyle w:val="Hyperlink"/>
          </w:rPr>
          <w:t xml:space="preserve">https://doi.org/10.1038/s44271-024-00159-5</w:t>
        </w:r>
      </w:hyperlink>
      <w:r>
        <w:t xml:space="preserve">.</w:t>
      </w:r>
    </w:p>
    <w:bookmarkEnd w:id="166"/>
    <w:bookmarkStart w:id="168" w:name="ref-Blume2019Somnologie"/>
    <w:p>
      <w:pPr>
        <w:pStyle w:val="Bibliography"/>
      </w:pPr>
      <w:r>
        <w:t xml:space="preserve">Blume, C., C. Garbazza, and M. Spitschan. 2019.</w:t>
      </w:r>
      <w:r>
        <w:t xml:space="preserve"> </w:t>
      </w:r>
      <w:r>
        <w:t xml:space="preserve">“Effects of Light on Human Circadian Rhythms, Sleep and Mood.”</w:t>
      </w:r>
      <w:r>
        <w:t xml:space="preserve"> </w:t>
      </w:r>
      <w:r>
        <w:t xml:space="preserve">Journal Article.</w:t>
      </w:r>
      <w:r>
        <w:t xml:space="preserve"> </w:t>
      </w:r>
      <w:r>
        <w:rPr>
          <w:i/>
          <w:iCs/>
        </w:rPr>
        <w:t xml:space="preserve">Somnologie (Berl)</w:t>
      </w:r>
      <w:r>
        <w:t xml:space="preserve"> </w:t>
      </w:r>
      <w:r>
        <w:t xml:space="preserve">23 (3): 147–56.</w:t>
      </w:r>
      <w:r>
        <w:t xml:space="preserve"> </w:t>
      </w:r>
      <w:hyperlink r:id="rId167">
        <w:r>
          <w:rPr>
            <w:rStyle w:val="Hyperlink"/>
          </w:rPr>
          <w:t xml:space="preserve">https://doi.org/10.1007/s11818-019-00215-x</w:t>
        </w:r>
      </w:hyperlink>
      <w:r>
        <w:t xml:space="preserve">.</w:t>
      </w:r>
    </w:p>
    <w:bookmarkEnd w:id="168"/>
    <w:bookmarkStart w:id="170" w:name="ref-Brown2022PLoSBiol"/>
    <w:p>
      <w:pPr>
        <w:pStyle w:val="Bibliography"/>
      </w:pPr>
      <w:r>
        <w:t xml:space="preserve">Brown, T. M., G. C. Brainard, C. Cajochen, C. A. Czeisler, J. P. Hanifin, S. W. Lockley, R. J. Lucas, et al. 2022.</w:t>
      </w:r>
      <w:r>
        <w:t xml:space="preserve"> </w:t>
      </w:r>
      <w:r>
        <w:t xml:space="preserve">“Recommendations for Daytime, Evening, and Nighttime Indoor Light Exposure to Best Support Physiology, Sleep, and Wakefulness in Healthy Adults.”</w:t>
      </w:r>
      <w:r>
        <w:t xml:space="preserve"> </w:t>
      </w:r>
      <w:r>
        <w:t xml:space="preserve">Journal Article.</w:t>
      </w:r>
      <w:r>
        <w:t xml:space="preserve"> </w:t>
      </w:r>
      <w:r>
        <w:rPr>
          <w:i/>
          <w:iCs/>
        </w:rPr>
        <w:t xml:space="preserve">PLoS Biol</w:t>
      </w:r>
      <w:r>
        <w:t xml:space="preserve"> </w:t>
      </w:r>
      <w:r>
        <w:t xml:space="preserve">20 (3): e3001571.</w:t>
      </w:r>
      <w:r>
        <w:t xml:space="preserve"> </w:t>
      </w:r>
      <w:hyperlink r:id="rId169">
        <w:r>
          <w:rPr>
            <w:rStyle w:val="Hyperlink"/>
          </w:rPr>
          <w:t xml:space="preserve">https://doi.org/10.1371/journal.pbio.3001571</w:t>
        </w:r>
      </w:hyperlink>
      <w:r>
        <w:t xml:space="preserve">.</w:t>
      </w:r>
    </w:p>
    <w:bookmarkEnd w:id="170"/>
    <w:bookmarkStart w:id="172" w:name="ref-CIE_S026_2018"/>
    <w:p>
      <w:pPr>
        <w:pStyle w:val="Bibliography"/>
      </w:pPr>
      <w:r>
        <w:t xml:space="preserve">“CIE System for Metrology of Optical Radiation for</w:t>
      </w:r>
      <w:r>
        <w:t xml:space="preserve"> </w:t>
      </w:r>
      <w:r>
        <w:t xml:space="preserve">ipRGC</w:t>
      </w:r>
      <w:r>
        <w:t xml:space="preserve">-Influenced Responses to Light.”</w:t>
      </w:r>
      <w:r>
        <w:t xml:space="preserve"> </w:t>
      </w:r>
      <w:r>
        <w:t xml:space="preserve">2018, no. CIE S 026/E:2018.</w:t>
      </w:r>
      <w:r>
        <w:t xml:space="preserve"> </w:t>
      </w:r>
      <w:hyperlink r:id="rId171">
        <w:r>
          <w:rPr>
            <w:rStyle w:val="Hyperlink"/>
          </w:rPr>
          <w:t xml:space="preserve">https://doi.org/10.25039/S026.2018</w:t>
        </w:r>
      </w:hyperlink>
      <w:r>
        <w:t xml:space="preserve">.</w:t>
      </w:r>
    </w:p>
    <w:bookmarkEnd w:id="172"/>
    <w:bookmarkStart w:id="174" w:name="X83d7604419c0d13cdd8e4dc0337da8a89308dfa"/>
    <w:p>
      <w:pPr>
        <w:pStyle w:val="Bibliography"/>
      </w:pPr>
      <w:r>
        <w:t xml:space="preserve">Dahlmann-Noor, A. H., D. Bokre, M. Khazova, and L. L. A. Price. 2025.</w:t>
      </w:r>
      <w:r>
        <w:t xml:space="preserve"> </w:t>
      </w:r>
      <w:r>
        <w:t xml:space="preserve">“Measuring the Visual Environment of Children and Young People at Risk of Myopia: A Scoping Review.”</w:t>
      </w:r>
      <w:r>
        <w:t xml:space="preserve"> </w:t>
      </w:r>
      <w:r>
        <w:t xml:space="preserve">Journal Article.</w:t>
      </w:r>
      <w:r>
        <w:t xml:space="preserve"> </w:t>
      </w:r>
      <w:r>
        <w:rPr>
          <w:i/>
          <w:iCs/>
        </w:rPr>
        <w:t xml:space="preserve">Graefes Arch Clin Exp Ophthalmol</w:t>
      </w:r>
      <w:r>
        <w:t xml:space="preserve">.</w:t>
      </w:r>
      <w:r>
        <w:t xml:space="preserve"> </w:t>
      </w:r>
      <w:hyperlink r:id="rId173">
        <w:r>
          <w:rPr>
            <w:rStyle w:val="Hyperlink"/>
          </w:rPr>
          <w:t xml:space="preserve">https://doi.org/10.1007/s00417-024-06719-z</w:t>
        </w:r>
      </w:hyperlink>
      <w:r>
        <w:t xml:space="preserve">.</w:t>
      </w:r>
    </w:p>
    <w:bookmarkEnd w:id="174"/>
    <w:bookmarkStart w:id="176" w:name="ref-Gibaldi2024TranslVisSciTechnol"/>
    <w:p>
      <w:pPr>
        <w:pStyle w:val="Bibliography"/>
      </w:pPr>
      <w:r>
        <w:t xml:space="preserve">Gibaldi, A., E. N. Harb, C. F. Wildsoet, and M. S. Banks. 2024.</w:t>
      </w:r>
      <w:r>
        <w:t xml:space="preserve"> </w:t>
      </w:r>
      <w:r>
        <w:t xml:space="preserve">“A Child-Friendly Wearable Device for Quantifying Environmental Risk Factors for Myopia.”</w:t>
      </w:r>
      <w:r>
        <w:t xml:space="preserve"> </w:t>
      </w:r>
      <w:r>
        <w:t xml:space="preserve">Journal Article.</w:t>
      </w:r>
      <w:r>
        <w:t xml:space="preserve"> </w:t>
      </w:r>
      <w:r>
        <w:rPr>
          <w:i/>
          <w:iCs/>
        </w:rPr>
        <w:t xml:space="preserve">Transl Vis Sci Technol</w:t>
      </w:r>
      <w:r>
        <w:t xml:space="preserve"> </w:t>
      </w:r>
      <w:r>
        <w:t xml:space="preserve">13 (10): 28.</w:t>
      </w:r>
      <w:r>
        <w:t xml:space="preserve"> </w:t>
      </w:r>
      <w:hyperlink r:id="rId175">
        <w:r>
          <w:rPr>
            <w:rStyle w:val="Hyperlink"/>
          </w:rPr>
          <w:t xml:space="preserve">https://doi.org/10.1167/tvst.13.10.28</w:t>
        </w:r>
      </w:hyperlink>
      <w:r>
        <w:t xml:space="preserve">.</w:t>
      </w:r>
    </w:p>
    <w:bookmarkEnd w:id="176"/>
    <w:bookmarkStart w:id="178" w:name="ref-Guidolin2025BehavResMethods"/>
    <w:p>
      <w:pPr>
        <w:pStyle w:val="Bibliography"/>
      </w:pPr>
      <w:r>
        <w:t xml:space="preserve">Guidolin, Carolina, Johannes Zauner, Steffen Lutz Hartmeyer, and Manuel Spitschan. 2024.</w:t>
      </w:r>
      <w:r>
        <w:t xml:space="preserve"> </w:t>
      </w:r>
      <w:r>
        <w:t xml:space="preserve">“Collecting, Detecting and Handling Non-Wear Intervals in Longitudinal Light Exposure Data.”</w:t>
      </w:r>
      <w:r>
        <w:t xml:space="preserve"> </w:t>
      </w:r>
      <w:r>
        <w:rPr>
          <w:i/>
          <w:iCs/>
        </w:rPr>
        <w:t xml:space="preserve">bioRxiv</w:t>
      </w:r>
      <w:r>
        <w:t xml:space="preserve">.</w:t>
      </w:r>
      <w:r>
        <w:t xml:space="preserve"> </w:t>
      </w:r>
      <w:hyperlink r:id="rId177">
        <w:r>
          <w:rPr>
            <w:rStyle w:val="Hyperlink"/>
          </w:rPr>
          <w:t xml:space="preserve">https://doi.org/10.1101/2024.12.23.627604</w:t>
        </w:r>
      </w:hyperlink>
      <w:r>
        <w:t xml:space="preserve">.</w:t>
      </w:r>
    </w:p>
    <w:bookmarkEnd w:id="178"/>
    <w:bookmarkStart w:id="180" w:name="ref-Hartmeyer2023LightResTechnol"/>
    <w:p>
      <w:pPr>
        <w:pStyle w:val="Bibliography"/>
      </w:pPr>
      <w:r>
        <w:t xml:space="preserve">Hartmeyer, S. L., and M. Andersen. 2023.</w:t>
      </w:r>
      <w:r>
        <w:t xml:space="preserve"> </w:t>
      </w:r>
      <w:r>
        <w:t xml:space="preserve">“Towards a Framework for Light-Dosimetry Studies: Quantification Metrics.”</w:t>
      </w:r>
      <w:r>
        <w:t xml:space="preserve"> </w:t>
      </w:r>
      <w:r>
        <w:t xml:space="preserve">Journal Article.</w:t>
      </w:r>
      <w:r>
        <w:t xml:space="preserve"> </w:t>
      </w:r>
      <w:r>
        <w:rPr>
          <w:i/>
          <w:iCs/>
        </w:rPr>
        <w:t xml:space="preserve">Lighting Research &amp; Technology</w:t>
      </w:r>
      <w:r>
        <w:t xml:space="preserve"> </w:t>
      </w:r>
      <w:r>
        <w:t xml:space="preserve">56 (4): 337–65.</w:t>
      </w:r>
      <w:r>
        <w:t xml:space="preserve"> </w:t>
      </w:r>
      <w:hyperlink r:id="rId179">
        <w:r>
          <w:rPr>
            <w:rStyle w:val="Hyperlink"/>
          </w:rPr>
          <w:t xml:space="preserve">https://doi.org/10.1177/14771535231170500</w:t>
        </w:r>
      </w:hyperlink>
      <w:r>
        <w:t xml:space="preserve">.</w:t>
      </w:r>
    </w:p>
    <w:bookmarkEnd w:id="180"/>
    <w:bookmarkStart w:id="182" w:name="ref-Hartmeyer2022LightResTechnol"/>
    <w:p>
      <w:pPr>
        <w:pStyle w:val="Bibliography"/>
      </w:pPr>
      <w:r>
        <w:t xml:space="preserve">Hartmeyer, S. L., F. S. Webler, and M. Andersen. 2022.</w:t>
      </w:r>
      <w:r>
        <w:t xml:space="preserve"> </w:t>
      </w:r>
      <w:r>
        <w:t xml:space="preserve">“Towards a Framework for Light-Dosimetry Studies: Methodological Considerations.”</w:t>
      </w:r>
      <w:r>
        <w:t xml:space="preserve"> </w:t>
      </w:r>
      <w:r>
        <w:t xml:space="preserve">Journal Article.</w:t>
      </w:r>
      <w:r>
        <w:t xml:space="preserve"> </w:t>
      </w:r>
      <w:r>
        <w:rPr>
          <w:i/>
          <w:iCs/>
        </w:rPr>
        <w:t xml:space="preserve">Lighting Research &amp; Technology</w:t>
      </w:r>
      <w:r>
        <w:t xml:space="preserve"> </w:t>
      </w:r>
      <w:r>
        <w:t xml:space="preserve">55 (4-5): 377–99.</w:t>
      </w:r>
      <w:r>
        <w:t xml:space="preserve"> </w:t>
      </w:r>
      <w:hyperlink r:id="rId181">
        <w:r>
          <w:rPr>
            <w:rStyle w:val="Hyperlink"/>
          </w:rPr>
          <w:t xml:space="preserve">https://doi.org/10.1177/14771535221103258</w:t>
        </w:r>
      </w:hyperlink>
      <w:r>
        <w:t xml:space="preserve">.</w:t>
      </w:r>
    </w:p>
    <w:bookmarkEnd w:id="182"/>
    <w:bookmarkStart w:id="184" w:name="ref-Honekopp2023ClinOphthalmol"/>
    <w:p>
      <w:pPr>
        <w:pStyle w:val="Bibliography"/>
      </w:pPr>
      <w:r>
        <w:t xml:space="preserve">Hönekopp, A., and S. Weigelt. 2023.</w:t>
      </w:r>
      <w:r>
        <w:t xml:space="preserve"> </w:t>
      </w:r>
      <w:r>
        <w:t xml:space="preserve">“Using Light Meters to Investigate the Light-Myopia Association - a Literature Review of Devices and Research Methods.”</w:t>
      </w:r>
      <w:r>
        <w:t xml:space="preserve"> </w:t>
      </w:r>
      <w:r>
        <w:t xml:space="preserve">Journal Article.</w:t>
      </w:r>
      <w:r>
        <w:t xml:space="preserve"> </w:t>
      </w:r>
      <w:r>
        <w:rPr>
          <w:i/>
          <w:iCs/>
        </w:rPr>
        <w:t xml:space="preserve">Clin Ophthalmol</w:t>
      </w:r>
      <w:r>
        <w:t xml:space="preserve"> </w:t>
      </w:r>
      <w:r>
        <w:t xml:space="preserve">17: 2737–60.</w:t>
      </w:r>
      <w:r>
        <w:t xml:space="preserve"> </w:t>
      </w:r>
      <w:hyperlink r:id="rId183">
        <w:r>
          <w:rPr>
            <w:rStyle w:val="Hyperlink"/>
          </w:rPr>
          <w:t xml:space="preserve">https://doi.org/10.2147/OPTH.S420631</w:t>
        </w:r>
      </w:hyperlink>
      <w:r>
        <w:t xml:space="preserve">.</w:t>
      </w:r>
    </w:p>
    <w:bookmarkEnd w:id="184"/>
    <w:bookmarkStart w:id="186" w:name="ref-Mohamed2021OptExpress"/>
    <w:p>
      <w:pPr>
        <w:pStyle w:val="Bibliography"/>
      </w:pPr>
      <w:r>
        <w:t xml:space="preserve">Mohamed, A., V. Kalavally, S. W. Cain, A. J. K. Phillips, E. M. McGlashan, and C. P. Tan. 2021.</w:t>
      </w:r>
      <w:r>
        <w:t xml:space="preserve"> </w:t>
      </w:r>
      <w:r>
        <w:t xml:space="preserve">“Wearable Light Spectral Sensor Optimized for Measuring Daily Alpha-Opic Light Exposure.”</w:t>
      </w:r>
      <w:r>
        <w:t xml:space="preserve"> </w:t>
      </w:r>
      <w:r>
        <w:t xml:space="preserve">Journal Article.</w:t>
      </w:r>
      <w:r>
        <w:t xml:space="preserve"> </w:t>
      </w:r>
      <w:r>
        <w:rPr>
          <w:i/>
          <w:iCs/>
        </w:rPr>
        <w:t xml:space="preserve">Opt Express</w:t>
      </w:r>
      <w:r>
        <w:t xml:space="preserve"> </w:t>
      </w:r>
      <w:r>
        <w:t xml:space="preserve">29 (17): 27612–27.</w:t>
      </w:r>
      <w:r>
        <w:t xml:space="preserve"> </w:t>
      </w:r>
      <w:hyperlink r:id="rId185">
        <w:r>
          <w:rPr>
            <w:rStyle w:val="Hyperlink"/>
          </w:rPr>
          <w:t xml:space="preserve">https://doi.org/10.1364/OE.431373</w:t>
        </w:r>
      </w:hyperlink>
      <w:r>
        <w:t xml:space="preserve">.</w:t>
      </w:r>
    </w:p>
    <w:bookmarkEnd w:id="186"/>
    <w:bookmarkStart w:id="188" w:name="ref-murukesu2025ADID"/>
    <w:p>
      <w:pPr>
        <w:pStyle w:val="Bibliography"/>
      </w:pPr>
      <w:r>
        <w:t xml:space="preserve">Murukesu, Resshaya Roobini, Johannes Zauner, and Manuel Spitschan. 2025.</w:t>
      </w:r>
      <w:r>
        <w:t xml:space="preserve"> </w:t>
      </w:r>
      <w:r>
        <w:t xml:space="preserve">“A Day in Daylight,”</w:t>
      </w:r>
      <w:r>
        <w:t xml:space="preserve"> </w:t>
      </w:r>
      <w:r>
        <w:t xml:space="preserve">November.</w:t>
      </w:r>
      <w:r>
        <w:t xml:space="preserve"> </w:t>
      </w:r>
      <w:hyperlink r:id="rId187">
        <w:r>
          <w:rPr>
            <w:rStyle w:val="Hyperlink"/>
          </w:rPr>
          <w:t xml:space="preserve">https://doi.org/10.5281/zenodo.17513996</w:t>
        </w:r>
      </w:hyperlink>
      <w:r>
        <w:t xml:space="preserve">.</w:t>
      </w:r>
    </w:p>
    <w:bookmarkEnd w:id="188"/>
    <w:bookmarkStart w:id="190" w:name="ref-Okudaira1983AmJPhysiol"/>
    <w:p>
      <w:pPr>
        <w:pStyle w:val="Bibliography"/>
      </w:pPr>
      <w:r>
        <w:t xml:space="preserve">Okudaira, N., D. F. Kripke, and J. B. Webster. 1983.</w:t>
      </w:r>
      <w:r>
        <w:t xml:space="preserve"> </w:t>
      </w:r>
      <w:r>
        <w:t xml:space="preserve">“Naturalistic Studies of Human Light Exposure.”</w:t>
      </w:r>
      <w:r>
        <w:t xml:space="preserve"> </w:t>
      </w:r>
      <w:r>
        <w:t xml:space="preserve">Journal Article.</w:t>
      </w:r>
      <w:r>
        <w:t xml:space="preserve"> </w:t>
      </w:r>
      <w:r>
        <w:rPr>
          <w:i/>
          <w:iCs/>
        </w:rPr>
        <w:t xml:space="preserve">Am J Physiol</w:t>
      </w:r>
      <w:r>
        <w:t xml:space="preserve"> </w:t>
      </w:r>
      <w:r>
        <w:t xml:space="preserve">245 (4): R613–5.</w:t>
      </w:r>
      <w:r>
        <w:t xml:space="preserve"> </w:t>
      </w:r>
      <w:hyperlink r:id="rId189">
        <w:r>
          <w:rPr>
            <w:rStyle w:val="Hyperlink"/>
          </w:rPr>
          <w:t xml:space="preserve">https://doi.org/10.1152/ajpregu.1983.245.4.R613</w:t>
        </w:r>
      </w:hyperlink>
      <w:r>
        <w:t xml:space="preserve">.</w:t>
      </w:r>
    </w:p>
    <w:bookmarkEnd w:id="190"/>
    <w:bookmarkStart w:id="192" w:name="ref-pattersongentile2025"/>
    <w:p>
      <w:pPr>
        <w:pStyle w:val="Bibliography"/>
      </w:pPr>
      <w:r>
        <w:t xml:space="preserve">Patterson Gentile, Carlyn, Ryan Shah, Blanca Marquez De Prado, Nichelle Raj, Christina L. Szperka, Andrew D. Hershey, and Geoffrey K. Aguirre. 2025.</w:t>
      </w:r>
      <w:r>
        <w:t xml:space="preserve"> </w:t>
      </w:r>
      <w:r>
        <w:t xml:space="preserve">“Daily Light Exposure Habits of Youth with Migraine: A Prospective Exploratory Study.”</w:t>
      </w:r>
      <w:r>
        <w:t xml:space="preserve"> </w:t>
      </w:r>
      <w:r>
        <w:rPr>
          <w:i/>
          <w:iCs/>
        </w:rPr>
        <w:t xml:space="preserve">Npj Biological Timing and Sleep</w:t>
      </w:r>
      <w:r>
        <w:t xml:space="preserve"> </w:t>
      </w:r>
      <w:r>
        <w:t xml:space="preserve">2 (1).</w:t>
      </w:r>
      <w:r>
        <w:t xml:space="preserve"> </w:t>
      </w:r>
      <w:hyperlink r:id="rId191">
        <w:r>
          <w:rPr>
            <w:rStyle w:val="Hyperlink"/>
          </w:rPr>
          <w:t xml:space="preserve">https://doi.org/10.1038/s44323-025-00056-y</w:t>
        </w:r>
      </w:hyperlink>
      <w:r>
        <w:t xml:space="preserve">.</w:t>
      </w:r>
    </w:p>
    <w:bookmarkEnd w:id="192"/>
    <w:bookmarkStart w:id="194" w:name="ref-Sah2025OphtalmicPhysiolOpt"/>
    <w:p>
      <w:pPr>
        <w:pStyle w:val="Bibliography"/>
      </w:pPr>
      <w:r>
        <w:t xml:space="preserve">Sah, Raman Prasad, Pavan Kalyan Narra, and Lisa A. Ostrin. 2025.</w:t>
      </w:r>
      <w:r>
        <w:t xml:space="preserve"> </w:t>
      </w:r>
      <w:r>
        <w:t xml:space="preserve">“A Novel Wearable Sensor for Objective Measurement of Distance and Illumination.”</w:t>
      </w:r>
      <w:r>
        <w:t xml:space="preserve"> </w:t>
      </w:r>
      <w:r>
        <w:rPr>
          <w:i/>
          <w:iCs/>
        </w:rPr>
        <w:t xml:space="preserve">Ophthalmic and Physiological Optics</w:t>
      </w:r>
      <w:r>
        <w:t xml:space="preserve"> </w:t>
      </w:r>
      <w:r>
        <w:t xml:space="preserve">00 (n/a): 1–13. https://doi.org/</w:t>
      </w:r>
      <w:hyperlink r:id="rId193">
        <w:r>
          <w:rPr>
            <w:rStyle w:val="Hyperlink"/>
          </w:rPr>
          <w:t xml:space="preserve">https://doi.org/10.1111/opo.13523</w:t>
        </w:r>
      </w:hyperlink>
      <w:r>
        <w:t xml:space="preserve">.</w:t>
      </w:r>
    </w:p>
    <w:bookmarkEnd w:id="194"/>
    <w:bookmarkStart w:id="196" w:name="ref-Sullivan2024"/>
    <w:p>
      <w:pPr>
        <w:pStyle w:val="Bibliography"/>
      </w:pPr>
      <w:r>
        <w:t xml:space="preserve">Sullivan, David, Aaron Nicholls, George Hatoun, Samuel Thompson, Cory Schwarzmiller, Fathollah Memarzanjany, Alyssa Gunderson, et al. 2024.</w:t>
      </w:r>
      <w:r>
        <w:t xml:space="preserve"> </w:t>
      </w:r>
      <w:r>
        <w:t xml:space="preserve">“The Visual Experience Evaluation Tool: A Myopia Research Instrument for Quantifying Visual Experience.”</w:t>
      </w:r>
      <w:r>
        <w:t xml:space="preserve"> </w:t>
      </w:r>
      <w:r>
        <w:rPr>
          <w:i/>
          <w:iCs/>
        </w:rPr>
        <w:t xml:space="preserve">bioRxiv</w:t>
      </w:r>
      <w:r>
        <w:t xml:space="preserve">.</w:t>
      </w:r>
      <w:r>
        <w:t xml:space="preserve"> </w:t>
      </w:r>
      <w:hyperlink r:id="rId195">
        <w:r>
          <w:rPr>
            <w:rStyle w:val="Hyperlink"/>
          </w:rPr>
          <w:t xml:space="preserve">https://doi.org/10.1101/2024.09.20.614212</w:t>
        </w:r>
      </w:hyperlink>
      <w:r>
        <w:t xml:space="preserve">.</w:t>
      </w:r>
    </w:p>
    <w:bookmarkEnd w:id="196"/>
    <w:bookmarkStart w:id="198" w:name="ref-tabandeh2025"/>
    <w:p>
      <w:pPr>
        <w:pStyle w:val="Bibliography"/>
      </w:pPr>
      <w:r>
        <w:t xml:space="preserve">Tabandeh, Niloufar, and Manuel Spitschan. 2025.</w:t>
      </w:r>
      <w:r>
        <w:t xml:space="preserve"> </w:t>
      </w:r>
      <w:r>
        <w:t xml:space="preserve">“Photoreceptor-Specific Scene Statistics Reveal Melanopic Structure in Natural Environments,”</w:t>
      </w:r>
      <w:r>
        <w:t xml:space="preserve"> </w:t>
      </w:r>
      <w:r>
        <w:t xml:space="preserve">November.</w:t>
      </w:r>
      <w:r>
        <w:t xml:space="preserve"> </w:t>
      </w:r>
      <w:hyperlink r:id="rId197">
        <w:r>
          <w:rPr>
            <w:rStyle w:val="Hyperlink"/>
          </w:rPr>
          <w:t xml:space="preserve">http://dx.doi.org/10.1101/2025.11.10.687567</w:t>
        </w:r>
      </w:hyperlink>
      <w:r>
        <w:t xml:space="preserve">.</w:t>
      </w:r>
    </w:p>
    <w:bookmarkEnd w:id="198"/>
    <w:bookmarkStart w:id="200" w:name="ref-vanDuijnhoven2025BuildEnviron"/>
    <w:p>
      <w:pPr>
        <w:pStyle w:val="Bibliography"/>
      </w:pPr>
      <w:r>
        <w:t xml:space="preserve">van Duijnhoven, J., S. L. Hartmeyer, A. Didikoglu, O. Stefani, K. W. Houser, V. Kalavally, and M. Spitschan. 2025.</w:t>
      </w:r>
      <w:r>
        <w:t xml:space="preserve"> </w:t>
      </w:r>
      <w:r>
        <w:t xml:space="preserve">“Measuring Light Exposure in Daily Life: A Review of Wearable Light Loggers.”</w:t>
      </w:r>
      <w:r>
        <w:t xml:space="preserve"> </w:t>
      </w:r>
      <w:r>
        <w:t xml:space="preserve">Journal Article.</w:t>
      </w:r>
      <w:r>
        <w:t xml:space="preserve"> </w:t>
      </w:r>
      <w:r>
        <w:rPr>
          <w:i/>
          <w:iCs/>
        </w:rPr>
        <w:t xml:space="preserve">Build Environ</w:t>
      </w:r>
      <w:r>
        <w:t xml:space="preserve"> </w:t>
      </w:r>
      <w:r>
        <w:t xml:space="preserve">274.</w:t>
      </w:r>
      <w:r>
        <w:t xml:space="preserve"> </w:t>
      </w:r>
      <w:hyperlink r:id="rId199">
        <w:r>
          <w:rPr>
            <w:rStyle w:val="Hyperlink"/>
          </w:rPr>
          <w:t xml:space="preserve">https://doi.org/10.1016/j.buildenv.2025.112771</w:t>
        </w:r>
      </w:hyperlink>
      <w:r>
        <w:t xml:space="preserve">.</w:t>
      </w:r>
    </w:p>
    <w:bookmarkEnd w:id="200"/>
    <w:bookmarkStart w:id="202" w:name="ref-Webler2019CurrOpinBehavSci"/>
    <w:p>
      <w:pPr>
        <w:pStyle w:val="Bibliography"/>
      </w:pPr>
      <w:r>
        <w:t xml:space="preserve">Webler, F. S., M. Spitschan, R. G. Foster, M. Andersen, and S. N. Peirson. 2019.</w:t>
      </w:r>
      <w:r>
        <w:t xml:space="preserve"> </w:t>
      </w:r>
      <w:r>
        <w:t xml:space="preserve">“What Is the ’Spectral Diet’ of Humans?”</w:t>
      </w:r>
      <w:r>
        <w:t xml:space="preserve"> Journal Article.</w:t>
      </w:r>
      <w:r>
        <w:t xml:space="preserve"> </w:t>
      </w:r>
      <w:r>
        <w:rPr>
          <w:i/>
          <w:iCs/>
        </w:rPr>
        <w:t xml:space="preserve">Curr Opin Behav Sci</w:t>
      </w:r>
      <w:r>
        <w:t xml:space="preserve"> </w:t>
      </w:r>
      <w:r>
        <w:t xml:space="preserve">30: 80–86.</w:t>
      </w:r>
      <w:r>
        <w:t xml:space="preserve"> </w:t>
      </w:r>
      <w:hyperlink r:id="rId201">
        <w:r>
          <w:rPr>
            <w:rStyle w:val="Hyperlink"/>
          </w:rPr>
          <w:t xml:space="preserve">https://doi.org/10.1016/j.cobeha.2019.06.006</w:t>
        </w:r>
      </w:hyperlink>
      <w:r>
        <w:t xml:space="preserve">.</w:t>
      </w:r>
    </w:p>
    <w:bookmarkEnd w:id="202"/>
    <w:bookmarkStart w:id="204" w:name="ref-Wen2020bjophthalmol"/>
    <w:p>
      <w:pPr>
        <w:pStyle w:val="Bibliography"/>
      </w:pPr>
      <w:r>
        <w:t xml:space="preserve">Wen, Longbo, Yingpin Cao, Qian Cheng, Xiaoning Li, Lun Pan, Lei Li, HaoGang Zhu, Weizhong Lan, and Zhikuan Yang. 2020.</w:t>
      </w:r>
      <w:r>
        <w:t xml:space="preserve"> </w:t>
      </w:r>
      <w:r>
        <w:t xml:space="preserve">“Objectively Measured Near Work, Outdoor Exposure and Myopia in Children.”</w:t>
      </w:r>
      <w:r>
        <w:t xml:space="preserve"> </w:t>
      </w:r>
      <w:r>
        <w:rPr>
          <w:i/>
          <w:iCs/>
        </w:rPr>
        <w:t xml:space="preserve">British Journal of Ophthalmology</w:t>
      </w:r>
      <w:r>
        <w:t xml:space="preserve"> </w:t>
      </w:r>
      <w:r>
        <w:t xml:space="preserve">104 (11): 1542–47.</w:t>
      </w:r>
      <w:r>
        <w:t xml:space="preserve"> </w:t>
      </w:r>
      <w:hyperlink r:id="rId203">
        <w:r>
          <w:rPr>
            <w:rStyle w:val="Hyperlink"/>
          </w:rPr>
          <w:t xml:space="preserve">https://doi.org/10.1136/bjophthalmol-2019-315258</w:t>
        </w:r>
      </w:hyperlink>
      <w:r>
        <w:t xml:space="preserve">.</w:t>
      </w:r>
    </w:p>
    <w:bookmarkEnd w:id="204"/>
    <w:bookmarkStart w:id="206" w:name="ref-Wen2021ActaOphtalmol"/>
    <w:p>
      <w:pPr>
        <w:pStyle w:val="Bibliography"/>
      </w:pPr>
      <w:r>
        <w:t xml:space="preserve">Wen, Longbo, Qian Cheng, Yingpin Cao, Xiaoning Li, Lun Pan, Lei Li, Haogang Zhu, Ian Mogran, Weizhong Lan, and Zhikuan Yang. 2021.</w:t>
      </w:r>
      <w:r>
        <w:t xml:space="preserve"> </w:t>
      </w:r>
      <w:r>
        <w:t xml:space="preserve">“The Clouclip, a Wearable Device for Measuring Near-Work and Outdoor Time: Validation and Comparison of Objective Measures with Questionnaire Estimates.”</w:t>
      </w:r>
      <w:r>
        <w:t xml:space="preserve"> </w:t>
      </w:r>
      <w:r>
        <w:rPr>
          <w:i/>
          <w:iCs/>
        </w:rPr>
        <w:t xml:space="preserve">Acta Ophthalmologica</w:t>
      </w:r>
      <w:r>
        <w:t xml:space="preserve"> </w:t>
      </w:r>
      <w:r>
        <w:t xml:space="preserve">99 (7): e1222–35. https://doi.org/</w:t>
      </w:r>
      <w:hyperlink r:id="rId205">
        <w:r>
          <w:rPr>
            <w:rStyle w:val="Hyperlink"/>
          </w:rPr>
          <w:t xml:space="preserve">https://doi.org/10.1111/aos.14785</w:t>
        </w:r>
      </w:hyperlink>
      <w:r>
        <w:t xml:space="preserve">.</w:t>
      </w:r>
    </w:p>
    <w:bookmarkEnd w:id="206"/>
    <w:bookmarkStart w:id="208" w:name="ref-Wen2019TransVisSciTech"/>
    <w:p>
      <w:pPr>
        <w:pStyle w:val="Bibliography"/>
      </w:pPr>
      <w:r>
        <w:t xml:space="preserve">Wen, Longbo, Qian Cheng, Weizhong Lan, Yingpin Cao, Xiaoning Li, Yiqiu Lu, Zhenghua Lin, Lun Pan, Haogang Zhu, and Zhikuan Yang. 2019.</w:t>
      </w:r>
      <w:r>
        <w:t xml:space="preserve"> </w:t>
      </w:r>
      <w:r>
        <w:t xml:space="preserve">“An Objective Comparison of Light Intensity and Near-Visual Tasks Between Rural and Urban School Children in China by a Wearable Device Clouclip.”</w:t>
      </w:r>
      <w:r>
        <w:t xml:space="preserve"> </w:t>
      </w:r>
      <w:r>
        <w:rPr>
          <w:i/>
          <w:iCs/>
        </w:rPr>
        <w:t xml:space="preserve">Translational Vision Science &amp; Technology</w:t>
      </w:r>
      <w:r>
        <w:t xml:space="preserve"> </w:t>
      </w:r>
      <w:r>
        <w:t xml:space="preserve">8 (6): 15–15.</w:t>
      </w:r>
      <w:r>
        <w:t xml:space="preserve"> </w:t>
      </w:r>
      <w:hyperlink r:id="rId207">
        <w:r>
          <w:rPr>
            <w:rStyle w:val="Hyperlink"/>
          </w:rPr>
          <w:t xml:space="preserve">https://doi.org/10.1167/tvst.8.6.15</w:t>
        </w:r>
      </w:hyperlink>
      <w:r>
        <w:t xml:space="preserve">.</w:t>
      </w:r>
    </w:p>
    <w:bookmarkEnd w:id="208"/>
    <w:bookmarkStart w:id="209" w:name="ref-Williams2019Scientificreports"/>
    <w:p>
      <w:pPr>
        <w:pStyle w:val="Bibliography"/>
      </w:pPr>
      <w:r>
        <w:t xml:space="preserve">Williams, Rachel, Suyash Bakshi, Edwin J Ostrin, and Lisa A Ostrin. 2019.</w:t>
      </w:r>
      <w:r>
        <w:t xml:space="preserve"> </w:t>
      </w:r>
      <w:r>
        <w:t xml:space="preserve">“Continuous Objective Assessment of Near Work.”</w:t>
      </w:r>
      <w:r>
        <w:t xml:space="preserve"> </w:t>
      </w:r>
      <w:r>
        <w:rPr>
          <w:i/>
          <w:iCs/>
        </w:rPr>
        <w:t xml:space="preserve">Scientific Reports</w:t>
      </w:r>
      <w:r>
        <w:t xml:space="preserve"> </w:t>
      </w:r>
      <w:r>
        <w:t xml:space="preserve">9 (1): 6901.</w:t>
      </w:r>
    </w:p>
    <w:bookmarkEnd w:id="209"/>
    <w:bookmarkStart w:id="211" w:name="ref-ZaunerEtAl2025JBR"/>
    <w:p>
      <w:pPr>
        <w:pStyle w:val="Bibliography"/>
      </w:pPr>
      <w:r>
        <w:t xml:space="preserve">Zauner, J., C. Guidolin, and M. Spitschan.</w:t>
      </w:r>
      <w:r>
        <w:t xml:space="preserve"> </w:t>
      </w:r>
      <w:r>
        <w:t xml:space="preserve">“How to Deal with Darkness: Modeling and Visualization of Zero-Inflated Personal Light Exposure Data on a Logarithmic Scale.”</w:t>
      </w:r>
      <w:r>
        <w:t xml:space="preserve"> </w:t>
      </w:r>
      <w:r>
        <w:rPr>
          <w:i/>
          <w:iCs/>
        </w:rPr>
        <w:t xml:space="preserve">Journal of Biological Rhythms</w:t>
      </w:r>
      <w:r>
        <w:t xml:space="preserve"> </w:t>
      </w:r>
      <w:r>
        <w:t xml:space="preserve">0 (0): 07487304251336624.</w:t>
      </w:r>
      <w:r>
        <w:t xml:space="preserve"> </w:t>
      </w:r>
      <w:hyperlink r:id="rId210">
        <w:r>
          <w:rPr>
            <w:rStyle w:val="Hyperlink"/>
          </w:rPr>
          <w:t xml:space="preserve">https://doi.org/10.1177/07487304251336624</w:t>
        </w:r>
      </w:hyperlink>
      <w:r>
        <w:t xml:space="preserve">.</w:t>
      </w:r>
    </w:p>
    <w:bookmarkEnd w:id="211"/>
    <w:bookmarkStart w:id="213" w:name="ref-Zauner2025JOpenSourceSoftw"/>
    <w:p>
      <w:pPr>
        <w:pStyle w:val="Bibliography"/>
      </w:pPr>
      <w:r>
        <w:t xml:space="preserve">Zauner, J., S. Hartmeyer, and M. Spitschan. 2025.</w:t>
      </w:r>
      <w:r>
        <w:t xml:space="preserve"> </w:t>
      </w:r>
      <w:r>
        <w:t xml:space="preserve">“LightLogR: Reproducible Analysis of Personal Light Exposure Data.”</w:t>
      </w:r>
      <w:r>
        <w:t xml:space="preserve"> </w:t>
      </w:r>
      <w:r>
        <w:t xml:space="preserve">Journal Article.</w:t>
      </w:r>
      <w:r>
        <w:t xml:space="preserve"> </w:t>
      </w:r>
      <w:r>
        <w:rPr>
          <w:i/>
          <w:iCs/>
        </w:rPr>
        <w:t xml:space="preserve">J Open Source Softw</w:t>
      </w:r>
      <w:r>
        <w:t xml:space="preserve"> </w:t>
      </w:r>
      <w:r>
        <w:t xml:space="preserve">10 (107): 7601.</w:t>
      </w:r>
      <w:r>
        <w:t xml:space="preserve"> </w:t>
      </w:r>
      <w:hyperlink r:id="rId212">
        <w:r>
          <w:rPr>
            <w:rStyle w:val="Hyperlink"/>
          </w:rPr>
          <w:t xml:space="preserve">https://doi.org/10.21105/joss.07601</w:t>
        </w:r>
      </w:hyperlink>
      <w:r>
        <w:t xml:space="preserve">.</w:t>
      </w:r>
    </w:p>
    <w:bookmarkEnd w:id="213"/>
    <w:bookmarkStart w:id="215" w:name="ref-Zauner2025LightResTech"/>
    <w:p>
      <w:pPr>
        <w:pStyle w:val="Bibliography"/>
      </w:pPr>
      <w:r>
        <w:t xml:space="preserve">Zauner, Johannes, Oliver Stefani, Anna M. Biller, Carolina Guidolin, and Manuel Spitschan. 2025.</w:t>
      </w:r>
      <w:r>
        <w:t xml:space="preserve"> </w:t>
      </w:r>
      <w:r>
        <w:t xml:space="preserve">“A Web-Based Specification Tool for Wearable Light Loggers and Optical Radiation Dosimeters.”</w:t>
      </w:r>
      <w:r>
        <w:t xml:space="preserve"> </w:t>
      </w:r>
      <w:r>
        <w:rPr>
          <w:i/>
          <w:iCs/>
        </w:rPr>
        <w:t xml:space="preserve">Preprints</w:t>
      </w:r>
      <w:r>
        <w:t xml:space="preserve">.</w:t>
      </w:r>
      <w:r>
        <w:t xml:space="preserve"> </w:t>
      </w:r>
      <w:hyperlink r:id="rId214">
        <w:r>
          <w:rPr>
            <w:rStyle w:val="Hyperlink"/>
          </w:rPr>
          <w:t xml:space="preserve">https://doi.org/10.20944/preprints202511.0644.v1</w:t>
        </w:r>
      </w:hyperlink>
      <w:r>
        <w:t xml:space="preserve">.</w:t>
      </w:r>
    </w:p>
    <w:bookmarkEnd w:id="215"/>
    <w:bookmarkStart w:id="217" w:name="ref-Zauner2025npj"/>
    <w:p>
      <w:pPr>
        <w:pStyle w:val="Bibliography"/>
      </w:pPr>
      <w:r>
        <w:t xml:space="preserve">Zauner, J., O. Stefani, G. Bocanegra, C. Guidolin, B. Schrader, L. Udovicic, and M. Spitschan. 2025.</w:t>
      </w:r>
      <w:r>
        <w:t xml:space="preserve"> </w:t>
      </w:r>
      <w:r>
        <w:t xml:space="preserve">“Auxiliary Data, Quality Assurance and Quality Control for Wearable Light Loggers and Optical Radiation Dosimeters.”</w:t>
      </w:r>
      <w:r>
        <w:t xml:space="preserve"> </w:t>
      </w:r>
      <w:r>
        <w:rPr>
          <w:i/>
          <w:iCs/>
        </w:rPr>
        <w:t xml:space="preserve">bioRxiv</w:t>
      </w:r>
      <w:r>
        <w:t xml:space="preserve">.</w:t>
      </w:r>
      <w:r>
        <w:t xml:space="preserve"> </w:t>
      </w:r>
      <w:hyperlink r:id="rId216">
        <w:r>
          <w:rPr>
            <w:rStyle w:val="Hyperlink"/>
          </w:rPr>
          <w:t xml:space="preserve">https://doi.org/10.1101/2025.09.11.675633</w:t>
        </w:r>
      </w:hyperlink>
      <w:r>
        <w:t xml:space="preserve">.</w:t>
      </w:r>
    </w:p>
    <w:bookmarkEnd w:id="217"/>
    <w:bookmarkStart w:id="219" w:name="ref-Zauner2024PLOSONE"/>
    <w:p>
      <w:pPr>
        <w:pStyle w:val="Bibliography"/>
      </w:pPr>
      <w:r>
        <w:t xml:space="preserve">Zauner, J., L. Udovicic, and M. Spitschan. 2024.</w:t>
      </w:r>
      <w:r>
        <w:t xml:space="preserve"> </w:t>
      </w:r>
      <w:r>
        <w:t xml:space="preserve">“Power Analysis for Personal Light Exposure Measurements and Interventions.”</w:t>
      </w:r>
      <w:r>
        <w:t xml:space="preserve"> </w:t>
      </w:r>
      <w:r>
        <w:rPr>
          <w:i/>
          <w:iCs/>
        </w:rPr>
        <w:t xml:space="preserve">PLOS ONE</w:t>
      </w:r>
      <w:r>
        <w:t xml:space="preserve"> </w:t>
      </w:r>
      <w:r>
        <w:t xml:space="preserve">19 (12): 1–15.</w:t>
      </w:r>
      <w:r>
        <w:t xml:space="preserve"> </w:t>
      </w:r>
      <w:hyperlink r:id="rId218">
        <w:r>
          <w:rPr>
            <w:rStyle w:val="Hyperlink"/>
          </w:rPr>
          <w:t xml:space="preserve">https://doi.org/10.1371/journal.pone.0308768</w:t>
        </w:r>
      </w:hyperlink>
      <w:r>
        <w:t xml:space="preserve">.</w:t>
      </w:r>
    </w:p>
    <w:bookmarkEnd w:id="219"/>
    <w:bookmarkEnd w:id="220"/>
    <w:bookmarkEnd w:id="2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2">
    <w:p>
      <w:pPr>
        <w:pStyle w:val="FootnoteText"/>
      </w:pPr>
      <w:r>
        <w:rPr>
          <w:rStyle w:val="FootnoteReference"/>
        </w:rPr>
        <w:footnoteRef/>
      </w:r>
      <w:r>
        <w:t xml:space="preserve"> </w:t>
      </w:r>
      <w:r>
        <w:t xml:space="preserve">Functions from</w:t>
      </w:r>
      <w:r>
        <w:t xml:space="preserve"> </w:t>
      </w:r>
      <w:r>
        <w:rPr>
          <w:rStyle w:val="VerbatimChar"/>
        </w:rPr>
        <w:t xml:space="preserve">LightLogR</w:t>
      </w:r>
      <w:r>
        <w:t xml:space="preserve"> </w:t>
      </w:r>
      <w:r>
        <w:t xml:space="preserve">are presented as links to the function documentation. General analysis functions (from package</w:t>
      </w:r>
      <w:r>
        <w:t xml:space="preserve"> </w:t>
      </w:r>
      <w:r>
        <w:rPr>
          <w:rStyle w:val="VerbatimChar"/>
        </w:rPr>
        <w:t xml:space="preserve">dplyr</w:t>
      </w:r>
      <w:r>
        <w:t xml:space="preserve">) are presented as normal text.</w:t>
      </w:r>
    </w:p>
  </w:footnote>
  <w:footnote w:id="44">
    <w:p>
      <w:pPr>
        <w:pStyle w:val="FootnoteText"/>
      </w:pPr>
      <w:r>
        <w:rPr>
          <w:rStyle w:val="FootnoteReference"/>
        </w:rPr>
        <w:footnoteRef/>
      </w:r>
      <w:r>
        <w:t xml:space="preserve"> </w:t>
      </w:r>
      <w:r>
        <w:t xml:space="preserve">The upper threshold refers to the</w:t>
      </w:r>
      <w:r>
        <w:t xml:space="preserve"> </w:t>
      </w:r>
      <w:r>
        <w:rPr>
          <w:rStyle w:val="VerbatimChar"/>
        </w:rPr>
        <w:t xml:space="preserve">Clouclips</w:t>
      </w:r>
      <w:r>
        <w:t xml:space="preserve">` maximum distance measurement and is not theoretically based</w:t>
      </w:r>
    </w:p>
  </w:footnote>
  <w:footnote w:id="45">
    <w:p>
      <w:pPr>
        <w:pStyle w:val="FootnoteText"/>
      </w:pPr>
      <w:r>
        <w:rPr>
          <w:rStyle w:val="FootnoteReference"/>
        </w:rPr>
        <w:footnoteRef/>
      </w:r>
      <w:r>
        <w:t xml:space="preserve"> </w:t>
      </w:r>
      <w:r>
        <w:t xml:space="preserve">This deviates from the common definition of luminous exposure, which is the sum of illuminance measurements scaled to hourly observation intervals</w:t>
      </w:r>
    </w:p>
  </w:footnote>
  <w:footnote w:id="132">
    <w:p>
      <w:pPr>
        <w:pStyle w:val="FootnoteText"/>
      </w:pPr>
      <w:r>
        <w:rPr>
          <w:rStyle w:val="FootnoteReference"/>
        </w:rPr>
        <w:footnoteRef/>
      </w:r>
      <w:r>
        <w:t xml:space="preserve"> </w:t>
      </w:r>
      <w:r>
        <w:t xml:space="preserve">Note that older firmware versions of the</w:t>
      </w:r>
      <w:r>
        <w:t xml:space="preserve"> </w:t>
      </w:r>
      <w:r>
        <w:rPr>
          <w:rStyle w:val="VerbatimChar"/>
        </w:rPr>
        <w:t xml:space="preserve">VEET</w:t>
      </w:r>
      <w:r>
        <w:t xml:space="preserve"> </w:t>
      </w:r>
      <w:r>
        <w:t xml:space="preserve">prior to</w:t>
      </w:r>
      <w:r>
        <w:t xml:space="preserve"> </w:t>
      </w:r>
      <w:r>
        <w:rPr>
          <w:i/>
          <w:iCs/>
        </w:rPr>
        <w:t xml:space="preserve">2.1.7</w:t>
      </w:r>
      <w:r>
        <w:t xml:space="preserve"> </w:t>
      </w:r>
      <w:r>
        <w:t xml:space="preserve">contained two</w:t>
      </w:r>
      <w:r>
        <w:t xml:space="preserve"> </w:t>
      </w:r>
      <w:r>
        <w:rPr>
          <w:rStyle w:val="VerbatimChar"/>
        </w:rPr>
        <w:t xml:space="preserve">Clear</w:t>
      </w:r>
      <w:r>
        <w:t xml:space="preserve"> </w:t>
      </w:r>
      <w:r>
        <w:t xml:space="preserve">channels and the highest spectral channel was indicated as 940 nm. Data collected with this early firmware version are not suitable for spectral reconstruction in the context of research projects.</w:t>
      </w:r>
    </w:p>
  </w:footnote>
  <w:footnote w:id="160">
    <w:p>
      <w:pPr>
        <w:pStyle w:val="FootnoteText"/>
      </w:pPr>
      <w:r>
        <w:rPr>
          <w:rStyle w:val="FootnoteReference"/>
        </w:rPr>
        <w:footnoteRef/>
      </w:r>
      <w:r>
        <w:t xml:space="preserve"> </w:t>
      </w:r>
      <w:r>
        <w:t xml:space="preserve">Based on the CRediT taxonomy. Funding acquisition, investigation, project administration, resources, and supervision were deemed irrelevant in this context and thus removed.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3" Target="media/rId133.png" /><Relationship Type="http://schemas.openxmlformats.org/officeDocument/2006/relationships/image" Id="rId25" Target="media/rId25.png" /><Relationship Type="http://schemas.openxmlformats.org/officeDocument/2006/relationships/image" Id="rId21" Target="media/rId21.gif" /><Relationship Type="http://schemas.openxmlformats.org/officeDocument/2006/relationships/image" Id="rId87" Target="media/rId87.png" /><Relationship Type="http://schemas.openxmlformats.org/officeDocument/2006/relationships/image" Id="rId92" Target="media/rId92.png" /><Relationship Type="http://schemas.openxmlformats.org/officeDocument/2006/relationships/image" Id="rId81" Target="media/rId81.png" /><Relationship Type="http://schemas.openxmlformats.org/officeDocument/2006/relationships/image" Id="rId98" Target="media/rId98.png" /><Relationship Type="http://schemas.openxmlformats.org/officeDocument/2006/relationships/image" Id="rId102" Target="media/rId102.png" /><Relationship Type="http://schemas.openxmlformats.org/officeDocument/2006/relationships/image" Id="rId115" Target="media/rId115.png" /><Relationship Type="http://schemas.openxmlformats.org/officeDocument/2006/relationships/image" Id="rId63" Target="media/rId63.png" /><Relationship Type="http://schemas.openxmlformats.org/officeDocument/2006/relationships/image" Id="rId146" Target="media/rId146.png" /><Relationship Type="http://schemas.openxmlformats.org/officeDocument/2006/relationships/image" Id="rId70" Target="media/rId70.png" /><Relationship Type="http://schemas.openxmlformats.org/officeDocument/2006/relationships/hyperlink" Id="rId108" Target="(https://tscnlab.github.io/LightLogR/reference/log_zero_inflated.html)" TargetMode="External" /><Relationship Type="http://schemas.openxmlformats.org/officeDocument/2006/relationships/hyperlink" Id="rId197" Target="http://dx.doi.org/10.1101/2025.11.10.687567" TargetMode="External" /><Relationship Type="http://schemas.openxmlformats.org/officeDocument/2006/relationships/hyperlink" Id="rId173" Target="https://doi.org/10.1007/s00417-024-06719-z" TargetMode="External" /><Relationship Type="http://schemas.openxmlformats.org/officeDocument/2006/relationships/hyperlink" Id="rId167" Target="https://doi.org/10.1007/s11818-019-00215-x" TargetMode="External" /><Relationship Type="http://schemas.openxmlformats.org/officeDocument/2006/relationships/hyperlink" Id="rId199" Target="https://doi.org/10.1016/j.buildenv.2025.112771" TargetMode="External" /><Relationship Type="http://schemas.openxmlformats.org/officeDocument/2006/relationships/hyperlink" Id="rId201" Target="https://doi.org/10.1016/j.cobeha.2019.06.006" TargetMode="External" /><Relationship Type="http://schemas.openxmlformats.org/officeDocument/2006/relationships/hyperlink" Id="rId165" Target="https://doi.org/10.1038/s44271-024-00159-5" TargetMode="External" /><Relationship Type="http://schemas.openxmlformats.org/officeDocument/2006/relationships/hyperlink" Id="rId191" Target="https://doi.org/10.1038/s44323-025-00056-y" TargetMode="External" /><Relationship Type="http://schemas.openxmlformats.org/officeDocument/2006/relationships/hyperlink" Id="rId195" Target="https://doi.org/10.1101/2024.09.20.614212" TargetMode="External" /><Relationship Type="http://schemas.openxmlformats.org/officeDocument/2006/relationships/hyperlink" Id="rId177" Target="https://doi.org/10.1101/2024.12.23.627604" TargetMode="External" /><Relationship Type="http://schemas.openxmlformats.org/officeDocument/2006/relationships/hyperlink" Id="rId216" Target="https://doi.org/10.1101/2025.09.11.675633" TargetMode="External" /><Relationship Type="http://schemas.openxmlformats.org/officeDocument/2006/relationships/hyperlink" Id="rId205" Target="https://doi.org/10.1111/aos.14785" TargetMode="External" /><Relationship Type="http://schemas.openxmlformats.org/officeDocument/2006/relationships/hyperlink" Id="rId163" Target="https://doi.org/10.1111/opo.12735" TargetMode="External" /><Relationship Type="http://schemas.openxmlformats.org/officeDocument/2006/relationships/hyperlink" Id="rId193" Target="https://doi.org/10.1111/opo.13523" TargetMode="External" /><Relationship Type="http://schemas.openxmlformats.org/officeDocument/2006/relationships/hyperlink" Id="rId203" Target="https://doi.org/10.1136/bjophthalmol-2019-315258" TargetMode="External" /><Relationship Type="http://schemas.openxmlformats.org/officeDocument/2006/relationships/hyperlink" Id="rId189" Target="https://doi.org/10.1152/ajpregu.1983.245.4.R613" TargetMode="External" /><Relationship Type="http://schemas.openxmlformats.org/officeDocument/2006/relationships/hyperlink" Id="rId175" Target="https://doi.org/10.1167/tvst.13.10.28" TargetMode="External" /><Relationship Type="http://schemas.openxmlformats.org/officeDocument/2006/relationships/hyperlink" Id="rId207" Target="https://doi.org/10.1167/tvst.8.6.15" TargetMode="External" /><Relationship Type="http://schemas.openxmlformats.org/officeDocument/2006/relationships/hyperlink" Id="rId210" Target="https://doi.org/10.1177/07487304251336624" TargetMode="External" /><Relationship Type="http://schemas.openxmlformats.org/officeDocument/2006/relationships/hyperlink" Id="rId181" Target="https://doi.org/10.1177/14771535221103258" TargetMode="External" /><Relationship Type="http://schemas.openxmlformats.org/officeDocument/2006/relationships/hyperlink" Id="rId179" Target="https://doi.org/10.1177/14771535231170500" TargetMode="External" /><Relationship Type="http://schemas.openxmlformats.org/officeDocument/2006/relationships/hyperlink" Id="rId185" Target="https://doi.org/10.1364/OE.431373" TargetMode="External" /><Relationship Type="http://schemas.openxmlformats.org/officeDocument/2006/relationships/hyperlink" Id="rId169" Target="https://doi.org/10.1371/journal.pbio.3001571" TargetMode="External" /><Relationship Type="http://schemas.openxmlformats.org/officeDocument/2006/relationships/hyperlink" Id="rId218" Target="https://doi.org/10.1371/journal.pone.0308768" TargetMode="External" /><Relationship Type="http://schemas.openxmlformats.org/officeDocument/2006/relationships/hyperlink" Id="rId214" Target="https://doi.org/10.20944/preprints202511.0644.v1" TargetMode="External" /><Relationship Type="http://schemas.openxmlformats.org/officeDocument/2006/relationships/hyperlink" Id="rId212" Target="https://doi.org/10.21105/joss.07601" TargetMode="External" /><Relationship Type="http://schemas.openxmlformats.org/officeDocument/2006/relationships/hyperlink" Id="rId183" Target="https://doi.org/10.2147/OPTH.S420631" TargetMode="External" /><Relationship Type="http://schemas.openxmlformats.org/officeDocument/2006/relationships/hyperlink" Id="rId171" Target="https://doi.org/10.25039/S026.2018" TargetMode="External" /><Relationship Type="http://schemas.openxmlformats.org/officeDocument/2006/relationships/hyperlink" Id="rId187" Target="https://doi.org/10.5281/zenodo.17513996" TargetMode="External" /><Relationship Type="http://schemas.openxmlformats.org/officeDocument/2006/relationships/hyperlink" Id="rId24" Target="https://github.com/tscnlab/ZaunerEtAl_JVis_2026" TargetMode="External" /><Relationship Type="http://schemas.openxmlformats.org/officeDocument/2006/relationships/hyperlink" Id="rId20" Target="https://tscnlab.github.io/LightLogR/" TargetMode="External" /><Relationship Type="http://schemas.openxmlformats.org/officeDocument/2006/relationships/hyperlink" Id="rId50" Target="https://tscnlab.github.io/LightLogR/articles/Import.html#from-which-devices-can-i-import-data" TargetMode="External" /><Relationship Type="http://schemas.openxmlformats.org/officeDocument/2006/relationships/hyperlink" Id="rId124" Target="https://tscnlab.github.io/LightLogR/articles/Metrics.html" TargetMode="External" /><Relationship Type="http://schemas.openxmlformats.org/officeDocument/2006/relationships/hyperlink" Id="rId107" Target="https://tscnlab.github.io/LightLogR/articles/log.html" TargetMode="External" /><Relationship Type="http://schemas.openxmlformats.org/officeDocument/2006/relationships/hyperlink" Id="rId41" Target="https://tscnlab.github.io/LightLogR/reference/cut_Datetime.html" TargetMode="External" /><Relationship Type="http://schemas.openxmlformats.org/officeDocument/2006/relationships/hyperlink" Id="rId125" Target="https://tscnlab.github.io/LightLogR/reference/duration_above_threshold.html" TargetMode="External" /><Relationship Type="http://schemas.openxmlformats.org/officeDocument/2006/relationships/hyperlink" Id="rId33" Target="https://tscnlab.github.io/LightLogR/reference/durations.html" TargetMode="External" /><Relationship Type="http://schemas.openxmlformats.org/officeDocument/2006/relationships/hyperlink" Id="rId34" Target="https://tscnlab.github.io/LightLogR/reference/extract_clusters.html" TargetMode="External" /><Relationship Type="http://schemas.openxmlformats.org/officeDocument/2006/relationships/hyperlink" Id="rId36" Target="https://tscnlab.github.io/LightLogR/reference/extract_metric.html" TargetMode="External" /><Relationship Type="http://schemas.openxmlformats.org/officeDocument/2006/relationships/hyperlink" Id="rId37" Target="https://tscnlab.github.io/LightLogR/reference/extract_states.html" TargetMode="External" /><Relationship Type="http://schemas.openxmlformats.org/officeDocument/2006/relationships/hyperlink" Id="rId40" Target="https://tscnlab.github.io/LightLogR/reference/filter_Time.html" TargetMode="External" /><Relationship Type="http://schemas.openxmlformats.org/officeDocument/2006/relationships/hyperlink" Id="rId49" Target="https://tscnlab.github.io/LightLogR/reference/import_adjustment.html" TargetMode="External" /><Relationship Type="http://schemas.openxmlformats.org/officeDocument/2006/relationships/hyperlink" Id="rId128" Target="https://tscnlab.github.io/LightLogR/reference/join_datasets.html" TargetMode="External" /><Relationship Type="http://schemas.openxmlformats.org/officeDocument/2006/relationships/hyperlink" Id="rId109" Target="https://tscnlab.github.io/LightLogR/reference/log_zero_inflated.html" TargetMode="External" /><Relationship Type="http://schemas.openxmlformats.org/officeDocument/2006/relationships/hyperlink" Id="rId31" Target="https://tscnlab.github.io/LightLogR/reference/mean_daily.html" TargetMode="External" /><Relationship Type="http://schemas.openxmlformats.org/officeDocument/2006/relationships/hyperlink" Id="rId38" Target="https://tscnlab.github.io/LightLogR/reference/period_above_threshold.html" TargetMode="External" /><Relationship Type="http://schemas.openxmlformats.org/officeDocument/2006/relationships/hyperlink" Id="rId42" Target="https://tscnlab.github.io/LightLogR/reference/photoperiod.html" TargetMode="External" /><Relationship Type="http://schemas.openxmlformats.org/officeDocument/2006/relationships/hyperlink" Id="rId39" Target="https://tscnlab.github.io/LightLogR/reference/spectral_integration.html" TargetMode="External" /><Relationship Type="http://schemas.openxmlformats.org/officeDocument/2006/relationships/hyperlink" Id="rId35" Target="https://tscnlab.github.io/LightLogR/reference/summarize_numeric.html" TargetMode="External" /><Relationship Type="http://schemas.openxmlformats.org/officeDocument/2006/relationships/hyperlink" Id="rId28" Target="supplement.qmd" TargetMode="External" /></Relationships>
</file>

<file path=word/_rels/footnotes.xml.rels><?xml version="1.0" encoding="UTF-8"?><Relationships xmlns="http://schemas.openxmlformats.org/package/2006/relationships"><Relationship Type="http://schemas.openxmlformats.org/officeDocument/2006/relationships/hyperlink" Id="rId108" Target="(https://tscnlab.github.io/LightLogR/reference/log_zero_inflated.html)" TargetMode="External" /><Relationship Type="http://schemas.openxmlformats.org/officeDocument/2006/relationships/hyperlink" Id="rId197" Target="http://dx.doi.org/10.1101/2025.11.10.687567" TargetMode="External" /><Relationship Type="http://schemas.openxmlformats.org/officeDocument/2006/relationships/hyperlink" Id="rId173" Target="https://doi.org/10.1007/s00417-024-06719-z" TargetMode="External" /><Relationship Type="http://schemas.openxmlformats.org/officeDocument/2006/relationships/hyperlink" Id="rId167" Target="https://doi.org/10.1007/s11818-019-00215-x" TargetMode="External" /><Relationship Type="http://schemas.openxmlformats.org/officeDocument/2006/relationships/hyperlink" Id="rId199" Target="https://doi.org/10.1016/j.buildenv.2025.112771" TargetMode="External" /><Relationship Type="http://schemas.openxmlformats.org/officeDocument/2006/relationships/hyperlink" Id="rId201" Target="https://doi.org/10.1016/j.cobeha.2019.06.006" TargetMode="External" /><Relationship Type="http://schemas.openxmlformats.org/officeDocument/2006/relationships/hyperlink" Id="rId165" Target="https://doi.org/10.1038/s44271-024-00159-5" TargetMode="External" /><Relationship Type="http://schemas.openxmlformats.org/officeDocument/2006/relationships/hyperlink" Id="rId191" Target="https://doi.org/10.1038/s44323-025-00056-y" TargetMode="External" /><Relationship Type="http://schemas.openxmlformats.org/officeDocument/2006/relationships/hyperlink" Id="rId195" Target="https://doi.org/10.1101/2024.09.20.614212" TargetMode="External" /><Relationship Type="http://schemas.openxmlformats.org/officeDocument/2006/relationships/hyperlink" Id="rId177" Target="https://doi.org/10.1101/2024.12.23.627604" TargetMode="External" /><Relationship Type="http://schemas.openxmlformats.org/officeDocument/2006/relationships/hyperlink" Id="rId216" Target="https://doi.org/10.1101/2025.09.11.675633" TargetMode="External" /><Relationship Type="http://schemas.openxmlformats.org/officeDocument/2006/relationships/hyperlink" Id="rId205" Target="https://doi.org/10.1111/aos.14785" TargetMode="External" /><Relationship Type="http://schemas.openxmlformats.org/officeDocument/2006/relationships/hyperlink" Id="rId163" Target="https://doi.org/10.1111/opo.12735" TargetMode="External" /><Relationship Type="http://schemas.openxmlformats.org/officeDocument/2006/relationships/hyperlink" Id="rId193" Target="https://doi.org/10.1111/opo.13523" TargetMode="External" /><Relationship Type="http://schemas.openxmlformats.org/officeDocument/2006/relationships/hyperlink" Id="rId203" Target="https://doi.org/10.1136/bjophthalmol-2019-315258" TargetMode="External" /><Relationship Type="http://schemas.openxmlformats.org/officeDocument/2006/relationships/hyperlink" Id="rId189" Target="https://doi.org/10.1152/ajpregu.1983.245.4.R613" TargetMode="External" /><Relationship Type="http://schemas.openxmlformats.org/officeDocument/2006/relationships/hyperlink" Id="rId175" Target="https://doi.org/10.1167/tvst.13.10.28" TargetMode="External" /><Relationship Type="http://schemas.openxmlformats.org/officeDocument/2006/relationships/hyperlink" Id="rId207" Target="https://doi.org/10.1167/tvst.8.6.15" TargetMode="External" /><Relationship Type="http://schemas.openxmlformats.org/officeDocument/2006/relationships/hyperlink" Id="rId210" Target="https://doi.org/10.1177/07487304251336624" TargetMode="External" /><Relationship Type="http://schemas.openxmlformats.org/officeDocument/2006/relationships/hyperlink" Id="rId181" Target="https://doi.org/10.1177/14771535221103258" TargetMode="External" /><Relationship Type="http://schemas.openxmlformats.org/officeDocument/2006/relationships/hyperlink" Id="rId179" Target="https://doi.org/10.1177/14771535231170500" TargetMode="External" /><Relationship Type="http://schemas.openxmlformats.org/officeDocument/2006/relationships/hyperlink" Id="rId185" Target="https://doi.org/10.1364/OE.431373" TargetMode="External" /><Relationship Type="http://schemas.openxmlformats.org/officeDocument/2006/relationships/hyperlink" Id="rId169" Target="https://doi.org/10.1371/journal.pbio.3001571" TargetMode="External" /><Relationship Type="http://schemas.openxmlformats.org/officeDocument/2006/relationships/hyperlink" Id="rId218" Target="https://doi.org/10.1371/journal.pone.0308768" TargetMode="External" /><Relationship Type="http://schemas.openxmlformats.org/officeDocument/2006/relationships/hyperlink" Id="rId214" Target="https://doi.org/10.20944/preprints202511.0644.v1" TargetMode="External" /><Relationship Type="http://schemas.openxmlformats.org/officeDocument/2006/relationships/hyperlink" Id="rId212" Target="https://doi.org/10.21105/joss.07601" TargetMode="External" /><Relationship Type="http://schemas.openxmlformats.org/officeDocument/2006/relationships/hyperlink" Id="rId183" Target="https://doi.org/10.2147/OPTH.S420631" TargetMode="External" /><Relationship Type="http://schemas.openxmlformats.org/officeDocument/2006/relationships/hyperlink" Id="rId171" Target="https://doi.org/10.25039/S026.2018" TargetMode="External" /><Relationship Type="http://schemas.openxmlformats.org/officeDocument/2006/relationships/hyperlink" Id="rId187" Target="https://doi.org/10.5281/zenodo.17513996" TargetMode="External" /><Relationship Type="http://schemas.openxmlformats.org/officeDocument/2006/relationships/hyperlink" Id="rId24" Target="https://github.com/tscnlab/ZaunerEtAl_JVis_2026" TargetMode="External" /><Relationship Type="http://schemas.openxmlformats.org/officeDocument/2006/relationships/hyperlink" Id="rId20" Target="https://tscnlab.github.io/LightLogR/" TargetMode="External" /><Relationship Type="http://schemas.openxmlformats.org/officeDocument/2006/relationships/hyperlink" Id="rId50" Target="https://tscnlab.github.io/LightLogR/articles/Import.html#from-which-devices-can-i-import-data" TargetMode="External" /><Relationship Type="http://schemas.openxmlformats.org/officeDocument/2006/relationships/hyperlink" Id="rId124" Target="https://tscnlab.github.io/LightLogR/articles/Metrics.html" TargetMode="External" /><Relationship Type="http://schemas.openxmlformats.org/officeDocument/2006/relationships/hyperlink" Id="rId107" Target="https://tscnlab.github.io/LightLogR/articles/log.html" TargetMode="External" /><Relationship Type="http://schemas.openxmlformats.org/officeDocument/2006/relationships/hyperlink" Id="rId41" Target="https://tscnlab.github.io/LightLogR/reference/cut_Datetime.html" TargetMode="External" /><Relationship Type="http://schemas.openxmlformats.org/officeDocument/2006/relationships/hyperlink" Id="rId125" Target="https://tscnlab.github.io/LightLogR/reference/duration_above_threshold.html" TargetMode="External" /><Relationship Type="http://schemas.openxmlformats.org/officeDocument/2006/relationships/hyperlink" Id="rId33" Target="https://tscnlab.github.io/LightLogR/reference/durations.html" TargetMode="External" /><Relationship Type="http://schemas.openxmlformats.org/officeDocument/2006/relationships/hyperlink" Id="rId34" Target="https://tscnlab.github.io/LightLogR/reference/extract_clusters.html" TargetMode="External" /><Relationship Type="http://schemas.openxmlformats.org/officeDocument/2006/relationships/hyperlink" Id="rId36" Target="https://tscnlab.github.io/LightLogR/reference/extract_metric.html" TargetMode="External" /><Relationship Type="http://schemas.openxmlformats.org/officeDocument/2006/relationships/hyperlink" Id="rId37" Target="https://tscnlab.github.io/LightLogR/reference/extract_states.html" TargetMode="External" /><Relationship Type="http://schemas.openxmlformats.org/officeDocument/2006/relationships/hyperlink" Id="rId40" Target="https://tscnlab.github.io/LightLogR/reference/filter_Time.html" TargetMode="External" /><Relationship Type="http://schemas.openxmlformats.org/officeDocument/2006/relationships/hyperlink" Id="rId49" Target="https://tscnlab.github.io/LightLogR/reference/import_adjustment.html" TargetMode="External" /><Relationship Type="http://schemas.openxmlformats.org/officeDocument/2006/relationships/hyperlink" Id="rId128" Target="https://tscnlab.github.io/LightLogR/reference/join_datasets.html" TargetMode="External" /><Relationship Type="http://schemas.openxmlformats.org/officeDocument/2006/relationships/hyperlink" Id="rId109" Target="https://tscnlab.github.io/LightLogR/reference/log_zero_inflated.html" TargetMode="External" /><Relationship Type="http://schemas.openxmlformats.org/officeDocument/2006/relationships/hyperlink" Id="rId31" Target="https://tscnlab.github.io/LightLogR/reference/mean_daily.html" TargetMode="External" /><Relationship Type="http://schemas.openxmlformats.org/officeDocument/2006/relationships/hyperlink" Id="rId38" Target="https://tscnlab.github.io/LightLogR/reference/period_above_threshold.html" TargetMode="External" /><Relationship Type="http://schemas.openxmlformats.org/officeDocument/2006/relationships/hyperlink" Id="rId42" Target="https://tscnlab.github.io/LightLogR/reference/photoperiod.html" TargetMode="External" /><Relationship Type="http://schemas.openxmlformats.org/officeDocument/2006/relationships/hyperlink" Id="rId39" Target="https://tscnlab.github.io/LightLogR/reference/spectral_integration.html" TargetMode="External" /><Relationship Type="http://schemas.openxmlformats.org/officeDocument/2006/relationships/hyperlink" Id="rId35" Target="https://tscnlab.github.io/LightLogR/reference/summarize_numeric.html" TargetMode="External" /><Relationship Type="http://schemas.openxmlformats.org/officeDocument/2006/relationships/hyperlink" Id="rId28" Target="supplement.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of human visual experience data</dc:title>
  <dc:creator>Johannes Zauner; Aaron Nicholls; Lisa A. Ostrin; Manuel Spitschan</dc:creator>
  <cp:keywords>wearable, light logging, viewing-distance, visual experience, metrics, circadian, myopia, risk factors, spectral analysis, open-source, reproducibility</cp:keywords>
  <dcterms:created xsi:type="dcterms:W3CDTF">2025-12-12T17:42:31Z</dcterms:created>
  <dcterms:modified xsi:type="dcterms:W3CDTF">2025-12-12T17:42:31Z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Exposure to the optical environment — often referred to as visual experience — profoundly influences human physiology and behavior across multiple time scales. In controlled laboratory settings, stimuli can be held constant or manipulated parametrically. However, such exposures rarely replicate real-world conditions, which are inherently complex and dynamic, generating high-dimensional datasets that demand rigorous and flexible analysis strategies. This tutorial presents an analysis pipeline for visual experience datasets, with a focus on reproducible workflows for human chronobiology and myopia research. Light exposure and its retinal encoding affect human physiology and behavior across multiple time scales. Here we provide step-by-step instructions for importing, visualizing, and processing viewing distance and light exposure data. This includes time-series analyses for working distance, biologically relevant light metrics, and spectral characteristics. The tasks are standardized through the open-source R package LightLogR. By leveraging a modular approach, the tutorial supports researchers in building flexible and robust pipelines that accommodate diverse experimental paradigms and measurement systems.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date">
    <vt:lpwstr>2025-12-12</vt:lpwstr>
  </property>
  <property fmtid="{D5CDD505-2E9C-101B-9397-08002B2CF9AE}" pid="10" name="default">
    <vt:lpwstr>True</vt:lpwstr>
  </property>
  <property fmtid="{D5CDD505-2E9C-101B-9397-08002B2CF9AE}" pid="11" name="doi">
    <vt:lpwstr>10.5281/zenodo.16566014</vt:lpwstr>
  </property>
  <property fmtid="{D5CDD505-2E9C-101B-9397-08002B2CF9AE}" pid="12" name="execute">
    <vt:lpwstr/>
  </property>
  <property fmtid="{D5CDD505-2E9C-101B-9397-08002B2CF9AE}" pid="13" name="funding">
    <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ghtbox">
    <vt:lpwstr>True</vt:lpwstr>
  </property>
  <property fmtid="{D5CDD505-2E9C-101B-9397-08002B2CF9AE}" pid="19" name="manuscript">
    <vt:lpwstr/>
  </property>
  <property fmtid="{D5CDD505-2E9C-101B-9397-08002B2CF9AE}" pid="20" name="toc-title">
    <vt:lpwstr>Table of contents</vt:lpwstr>
  </property>
</Properties>
</file>