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Item</w:t>
            </w:r>
            <w:r>
              <w:rPr>
                <w:rFonts w:ascii="Calibri" w:hAnsi="Calibri"/>
                <w:sz w:val="20"/>
              </w:rPr>
              <w:t xml:space="preserve"> (all N = 145)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Wrist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Collar pin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Glasses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Hat pin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Neck loop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Chest pin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Necklace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Sleeve collar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attractive do you find the overall design and look of this light logger?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Extremely unattractive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unattractive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Unattractive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Neutral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Attractive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attractive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Extremely attractive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is the likelihood that you would choose to wear this light logger in a public setting?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Extremely 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Neutral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Extremely 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is the likelihood that you would choose to wear this light logger at home?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Extremely 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Neutral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Extremely 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(9.0%)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is the likelihood that you would choose to wear this light logger at work?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Extremely 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Neutral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Extremely 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is the likelihood that you would choose to wear this light logger in social contexts?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Extremely 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Neutral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Extremely 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is the likelihood that you would choose to wear this light logger during exercise?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Extremely 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Neutral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Extremely likely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many hours could you imagine yourself wearing the light logger during the day?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at 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Up to 1 hour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1-3 hours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3-6 hours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6-8 hours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8-12 hours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Throughout the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 what extent do you believe the light sensor would restrict your daily activities?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at 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(45%)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Slightly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Somewhat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Quite a bit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Significantly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Extremely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(2.8%)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2025-09-11T19:03:50Z</dcterms:created>
  <dcterms:modified xsi:type="dcterms:W3CDTF">2025-09-11T19:03:50Z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