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4"/>
        </w:rPr>
        <w:t xml:space="preserve">Table </w:t>
      </w:r>
      <w:r>
        <w:fldChar w:fldCharType="begin" w:dirty="true"/>
      </w:r>
      <w:r>
        <w:instrText xml:space="preserve" w:dirty="true"> SEQ Table \* ARABIC </w:instrText>
      </w:r>
      <w:r>
        <w:fldChar w:fldCharType="separate" w:dirty="true"/>
      </w:r>
      <w:r>
        <w:rPr>
          <w:noProof/>
          <w:rFonts w:ascii="Calibri" w:hAnsi="Calibri"/>
          <w:sz w:val="24"/>
        </w:rPr>
        <w:t xml:space="default">1</w:t>
      </w:r>
      <w:r>
        <w:fldChar w:fldCharType="end" w:dirty="true"/>
      </w:r>
      <w:r>
        <w:rPr>
          <w:rFonts w:ascii="Calibri" w:hAnsi="Calibri"/>
          <w:sz w:val="24"/>
        </w:rPr>
        <w:t xml:space="preserve">: </w:t>
      </w:r>
      <w:r>
        <w:rPr>
          <w:rFonts w:ascii="Calibri" w:hAnsi="Calibri"/>
          <w:sz w:val="24"/>
          <w:color w:val="333333"/>
        </w:rPr>
        <w:t xml:space="default">H8: Model results</w:t>
      </w:r>
    </w:p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0"/>
          <w:color w:val="333333"/>
        </w:rPr>
        <w:t xml:space="default">Hypothesis: Duration, exposure-history, and level-based metrics of personal light exposure are significantly associated with personal light sensitivity (VLSQ-8).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metric_type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name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H8_1_p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H8_1_sig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level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Mean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&gt;0.9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FALSE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level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brightest_10h_mean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&gt;0.9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FALSE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level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darkest_10h_mean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&gt;0.9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FALSE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duration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duration_above_1000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&gt;0.9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FALSE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duration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period_above_250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&gt;0.9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FALSE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exposure history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dose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&gt;0.9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FALSE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duration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duration_below_10_pre-sleep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&gt;0.9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FALSE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duration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duration_below_1_sleep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&gt;0.9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FALSE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duration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duration_above_250_wake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&gt;0.9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FALSE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2026-06-04T20:33:08Z</dcterms:created>
  <dcterms:modified xsi:type="dcterms:W3CDTF">2026-06-04T20:33:08Z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