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3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light exposure categories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Primary lightsource ($p = &lt;0.001$, $R^2=0.72$)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0.064$, $R^2=0.04$)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Electric light source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indoors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Daylight outdoors (including shade)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Emissive display light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Darkness during sleep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78.08lx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10.68×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2.99×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4.56×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6.09×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3.50×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0.25×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1.59×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1.18×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2.00×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$R^2=0.84$, Marginal (Fixed effects) $R^2=0.77$, Random effect $R^2=0.07$, Residual Variance $R^2=0.16$; Random effect of participant: $×2.02$; Model based on 18'391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primary lightsource with site is significant ($p=&lt;0.001$, $R^2 = 0.03$)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primary lightsource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electric light indoors and a site average.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2026-06-04T20:47:49Z</dcterms:created>
  <dcterms:modified xsi:type="dcterms:W3CDTF">2026-06-04T20:47:49Z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