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Model results for Hypothesis 3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Hypothesis: There is a significant relationship between hourly self-reported light exposure categories and hourly geometric mean of melanopic EDI.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Primary lightsource ($p = &lt;0.001$, $R^2=0.71$)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Site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($p = &lt;0.001$, $R^2=0.05$)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Electric light source indoors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Daylight indoors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Daylight outdoors (including shade)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Emissive display light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Darkness during sleep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1</w:t>
            </w:r>
            <w:r>
              <w:rPr>
                <w:rFonts w:ascii="Calibri" w:hAnsi="Calibri"/>
                <w:sz w:val="20"/>
                <w:b w:val="true"/>
              </w:rPr>
              <w:t xml:space="default">74.61lx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2.31×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9.47×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0.28×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0.02×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88CCEE"/>
                <w:b w:val="true"/>
              </w:rPr>
              <w:t xml:space="default">Borås (SE)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2.04×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3.06×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0.54×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1.37×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117733"/>
                <w:b w:val="true"/>
              </w:rPr>
              <w:t xml:space="default">Delft (NL)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2.16×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1.95×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6.30×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1.32×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DDCC77"/>
                <w:b w:val="true"/>
              </w:rPr>
              <w:t xml:space="default">Dortmund (DE)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3.42×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1.10×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DDCC77"/>
                <w:b w:val="true"/>
              </w:rPr>
              <w:t xml:space="default">Tübingen (DE)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0.56×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0.15×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0.80×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DDCC77"/>
                <w:b w:val="true"/>
              </w:rPr>
              <w:t xml:space="default">Munich (DE)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0.08×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6.42×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CC6677"/>
                <w:b w:val="true"/>
              </w:rPr>
              <w:t xml:space="default">Madrid (ES)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1.48×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5.10×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0.54×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332288"/>
                <w:b w:val="true"/>
              </w:rPr>
              <w:t xml:space="default">Izmir (TR)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1.99×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1.20×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44AA99"/>
                <w:b w:val="true"/>
              </w:rPr>
              <w:t xml:space="default">San José (CR)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0.42×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1.06×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AA4499"/>
                <w:b w:val="true"/>
              </w:rPr>
              <w:t xml:space="default">Kumasi (GH)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0.50×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0.40×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0.52×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0.14×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Conditional (Model) $R^2=0.85$, Marginal (Fixed effects) $R^2=0.78$, Random effect $R^2=0.07$, Residual Variance $R^2=0.15$; Random effect of participant: $×2.1$; Model based on 16'774 participant-hours.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Interaction effect of primary lightsource with site is significant ($p=&lt;0.001$, $R^2 = 0.02$)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Values shown in </w:t>
            </w:r>
            <w:r>
              <w:rPr>
                <w:b w:val="true"/>
                <w:rFonts w:ascii="Calibri" w:hAnsi="Calibri"/>
                <w:sz w:val="20"/>
              </w:rPr>
              <w:t xml:space="preserve">bold</w:t>
            </w:r>
            <w:r>
              <w:rPr>
                <w:rFonts w:ascii="Calibri" w:hAnsi="Calibri"/>
                <w:sz w:val="20"/>
              </w:rPr>
              <w:t xml:space="preserve"> are significant at $p&lt;0.05$. False-discovery-rate adjustment for n=4 in primary lightsource and n=9 in site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Reference value, for electric light indoors and a site average. All other values have to be multiplied by the reference value, their respective `Overall` multiplier, and optionally the site interaction to get the estimated mel EDI for a given combination.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2026-05-27T09:56:44Z</dcterms:created>
  <dcterms:modified xsi:type="dcterms:W3CDTF">2026-05-27T09:56:44Z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