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5731510" cy="5458581"/>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731510" cy="5458581"/>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5731510" cy="2551194"/>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5731510" cy="255119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6838" w:w="11906" w:orient="portrait"/>
          <w:pgMar w:bottom="792" w:footer="400" w:gutter="0" w:header="400" w:left="1440" w:right="1440"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Compact"/>
        <w:keepNext w:val="1"/>
        <w:keepLines/>
        <w:pageBreakBefore w:val="0"/>
        <w:spacing w:before="0" w:after="0" w:line="240" w:lineRule="auto"/>
        <w:jc w:val="center"/>
      </w:pPr>
      <w:r>
        <w:drawing>
          <wp:inline>
            <wp:extent cx="5731510" cy="7294649"/>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731510" cy="7294649"/>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p>
      <w:pPr>
        <w:suppressLineNumbers/>
        <w:spacing w:before="0" w:after="0" w:line="20" w:lineRule="exact"/>
        <w:sectPr w:rsidR="00597312" w:rsidRPr="00791F7F" w:rsidSect="0000781E">
          <w:footerReference r:id="rId8" w:type="even"/>
          <w:footerReference r:id="rId9" w:type="default"/>
          <w:pgSz w:h="16838" w:w="11906" w:orient="portrait"/>
          <w:pgMar w:bottom="648" w:footer="400" w:gutter="0" w:header="400" w:left="1440" w:right="1440" w:top="648"/>
          <w:lnNumType w:countBy="1" w:restart="continuous"/>
          <w:cols w:space="720"/>
          <w:docGrid w:linePitch="326"/>
          <w:type w:val="nextPage"/>
        </w:sectPr>
      </w:pP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8788691" cy="5303520"/>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8788691" cy="530352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Compact"/>
        <w:keepNext/>
        <w:keepLines/>
        <w:pageBreakBefore w:val="0"/>
        <w:spacing w:before="0" w:after="0" w:line="240" w:lineRule="auto"/>
        <w:jc w:val="center"/>
      </w:pPr>
      <w:r>
        <w:drawing>
          <wp:inline>
            <wp:extent cx="4741124" cy="708660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4741124" cy="708660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w:t>
      </w:r>
      <w:hyperlink w:anchor="fig-s16">
        <w:r>
          <w:rPr>
            <w:rStyle w:val="Hyperlink"/>
          </w:rPr>
          <w:t xml:space="preserve">Supplementary Figure S16</w:t>
        </w:r>
      </w:hyperlink>
      <w:r>
        <w:t xml:space="preserve"> shows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7">
        <w:r>
          <w:rPr>
            <w:rStyle w:val="Hyperlink"/>
          </w:rPr>
          <w:t xml:space="preserve">S17</w:t>
        </w:r>
      </w:hyperlink>
      <w:r>
        <w:t xml:space="preserve"> </w:t>
      </w:r>
      <w:r>
        <w:t xml:space="preserve">and</w:t>
      </w:r>
      <w:r>
        <w:t xml:space="preserve"> </w:t>
      </w:r>
      <w:hyperlink w:anchor="fig-s18">
        <w:r>
          <w:rPr>
            <w:rStyle w:val="Hyperlink"/>
          </w:rPr>
          <w:t xml:space="preserve">S18</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7542785" cy="5303520"/>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7542785" cy="5303520"/>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9869170" cy="4226248"/>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9869170" cy="4226248"/>
                    </a:xfrm>
                    <a:prstGeom prst="rect"/>
                  </pic:spPr>
                </pic:pic>
              </a:graphicData>
            </a:graphic>
          </wp:inline>
        </w:drawing>
      </w:r>
    </w:p>
    <w:p>
      <w:pPr>
        <w:keepLines/>
        <w:pageBreakBefore/>
        <w:spacing w:before="0" w:after="0" w:line="240" w:lineRule="auto"/>
        <w:jc w:val="center"/>
      </w:pPr>
      <w:r>
        <w:drawing>
          <wp:inline>
            <wp:extent cx="9869170" cy="3500744"/>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9869170" cy="3500744"/>
                    </a:xfrm>
                    <a:prstGeom prst="rect"/>
                  </pic:spPr>
                </pic:pic>
              </a:graphicData>
            </a:graphic>
          </wp:inline>
        </w:drawing>
      </w:r>
    </w:p>
    <w:p>
      <w:pPr>
        <w:keepNext/>
        <w:keepLines/>
        <w:pageBreakBefore/>
        <w:spacing w:before="0" w:after="0" w:line="240" w:lineRule="auto"/>
        <w:jc w:val="center"/>
      </w:pPr>
      <w:r>
        <w:drawing>
          <wp:inline>
            <wp:extent cx="9869170" cy="3547988"/>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9869170" cy="3547988"/>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7291523" cy="5303520"/>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7291523" cy="5303520"/>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715000" cy="57150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extLst>
                        <a:ext uri="{96DAC541-7B7A-43D3-8B79-37D633B846F1}">
                          <asvg:svgBlip xmlns:asvg="http://schemas.microsoft.com/office/drawing/2016/SVG/main" r:embed="rId45"/>
                        </a:ext>
                      </a:extLst>
                    </a:blip>
                    <a:stretch>
                      <a:fillRect/>
                    </a:stretch>
                  </pic:blipFill>
                  <pic:spPr>
                    <a:xfrm>
                      <a:off x="0" y="0"/>
                      <a:ext cx="5715000" cy="57150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extLst>
                        <a:ext uri="{96DAC541-7B7A-43D3-8B79-37D633B846F1}">
                          <asvg:svgBlip xmlns:asvg="http://schemas.microsoft.com/office/drawing/2016/SVG/main" r:embed="rId46"/>
                        </a:ext>
                      </a:extLst>
                    </a:blip>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extLst>
                        <a:ext uri="{96DAC541-7B7A-43D3-8B79-37D633B846F1}">
                          <asvg:svgBlip xmlns:asvg="http://schemas.microsoft.com/office/drawing/2016/SVG/main" r:embed="rId47"/>
                        </a:ext>
                      </a:extLst>
                    </a:blip>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9"/>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3361709"/>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extLst>
                        <a:ext uri="{96DAC541-7B7A-43D3-8B79-37D633B846F1}">
                          <asvg:svgBlip xmlns:asvg="http://schemas.microsoft.com/office/drawing/2016/SVG/main" r:embed="rId49"/>
                        </a:ext>
                      </a:extLst>
                    </a:blip>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extLst>
                        <a:ext uri="{96DAC541-7B7A-43D3-8B79-37D633B846F1}">
                          <asvg:svgBlip xmlns:asvg="http://schemas.microsoft.com/office/drawing/2016/SVG/main" r:embed="rId50"/>
                        </a:ext>
                      </a:extLst>
                    </a:blip>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S4. Exploratory cross-window recommendation-adherence associations</w:t>
      </w:r>
    </w:p>
    <w:bookmarkStart w:id="321" w:name="supp-table-s4"/>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1584"/>
        <w:gridCol w:w="3456"/>
        <w:gridCol w:w="1296"/>
        <w:gridCol w:w="8856"/>
      </w:tblGrid>
      <w:tr>
        <w:trPr>
          <w:cantSplit/>
          <w:tblHeader/>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Exploratory cross-window recommendation-adherence associations</w:t>
            </w:r>
          </w:p>
        </w:tc>
      </w:tr>
      <w:tr>
        <w:trPr>
          <w:cantSplit/>
          <w:tblHeader/>
        </w:trPr>
        <w:tc>
          <w:tcPr>
            <w:tcW w:type="dxa" w:w="1584"/>
            <w:vAlign w:val="center"/>
            <w:shd w:fill="F1F3F5" w:val="clear"/>
          </w:tcPr>
          <w:p>
            <w:pPr>
              <w:keepNext w:val="0"/>
              <w:keepLines/>
              <w:spacing w:before="0" w:after="0" w:line="240" w:lineRule="auto"/>
              <w:ind w:firstLine="0"/>
              <w:jc w:val="left"/>
            </w:pPr>
            <w:r/>
            <w:r>
              <w:rPr>
                <w:rFonts w:ascii="Arial" w:hAnsi="Arial"/>
                <w:b/>
                <w:i w:val="0"/>
                <w:color w:val="333333"/>
                <w:sz w:val="20"/>
              </w:rPr>
              <w:t>Outcome window</w:t>
            </w:r>
          </w:p>
        </w:tc>
        <w:tc>
          <w:tcPr>
            <w:tcW w:type="dxa" w:w="3456"/>
            <w:vAlign w:val="center"/>
            <w:shd w:fill="F1F3F5" w:val="clear"/>
          </w:tcPr>
          <w:p>
            <w:pPr>
              <w:keepNext w:val="0"/>
              <w:keepLines/>
              <w:spacing w:before="0" w:after="0" w:line="240" w:lineRule="auto"/>
              <w:ind w:firstLine="0"/>
              <w:jc w:val="center"/>
            </w:pPr>
            <w:r/>
            <w:r>
              <w:rPr>
                <w:rFonts w:ascii="Arial" w:hAnsi="Arial"/>
                <w:b/>
                <w:i w:val="0"/>
                <w:color w:val="333333"/>
                <w:sz w:val="20"/>
              </w:rPr>
              <w:t>Difference per +10 percentage points Daytime adherence, percentage points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FDR-adjusted p</w:t>
            </w:r>
          </w:p>
        </w:tc>
        <w:tc>
          <w:tcPr>
            <w:tcW w:type="dxa" w:w="8856"/>
            <w:vAlign w:val="center"/>
            <w:shd w:fill="F1F3F5" w:val="clear"/>
          </w:tcPr>
          <w:p>
            <w:pPr>
              <w:keepNext w:val="0"/>
              <w:keepLines/>
              <w:spacing w:before="0" w:after="0" w:line="240" w:lineRule="auto"/>
              <w:ind w:firstLine="0"/>
              <w:jc w:val="left"/>
            </w:pPr>
            <w:r/>
            <w:r>
              <w:rPr>
                <w:rFonts w:ascii="Arial" w:hAnsi="Arial"/>
                <w:b/>
                <w:i w:val="0"/>
                <w:color w:val="333333"/>
                <w:sz w:val="20"/>
              </w:rPr>
              <w:t>Interpretation for recommendation adherence</w:t>
            </w:r>
          </w:p>
        </w:tc>
      </w:tr>
      <w:tr>
        <w:trPr>
          <w:cantSplit/>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Within participant, linked cycle</w:t>
            </w:r>
          </w:p>
        </w:tc>
      </w:tr>
      <w:tr>
        <w:trPr>
          <w:cantSplit/>
        </w:trPr>
        <w:tc>
          <w:tcPr>
            <w:tcW w:type="dxa" w:w="1584"/>
            <w:vAlign w:val="center"/>
            <w:shd w:fill="FFFFFF" w:val="clear"/>
          </w:tcPr>
          <w:p>
            <w:pPr>
              <w:keepNext w:val="0"/>
              <w:keepLines/>
              <w:spacing w:before="0" w:after="0" w:line="240" w:lineRule="auto"/>
              <w:ind w:firstLine="0"/>
              <w:jc w:val="left"/>
            </w:pPr>
            <w:r/>
            <w:r>
              <w:rPr>
                <w:rFonts w:ascii="Arial" w:hAnsi="Arial"/>
                <w:b w:val="0"/>
                <w:i w:val="0"/>
                <w:color w:val="333333"/>
                <w:sz w:val="20"/>
              </w:rPr>
              <w:t>Sleep</w:t>
            </w:r>
          </w:p>
        </w:tc>
        <w:tc>
          <w:tcPr>
            <w:tcW w:type="dxa" w:w="3456"/>
            <w:vAlign w:val="center"/>
            <w:shd w:fill="FFFFFF" w:val="clear"/>
          </w:tcPr>
          <w:p>
            <w:pPr>
              <w:keepNext w:val="0"/>
              <w:keepLines/>
              <w:spacing w:before="0" w:after="0" w:line="240" w:lineRule="auto"/>
              <w:ind w:firstLine="0"/>
              <w:jc w:val="center"/>
            </w:pPr>
            <w:r/>
            <w:r>
              <w:rPr>
                <w:rFonts w:ascii="Arial" w:hAnsi="Arial"/>
                <w:b w:val="0"/>
                <w:i w:val="0"/>
                <w:color w:val="333333"/>
                <w:sz w:val="20"/>
              </w:rPr>
              <w:t>-0.26 (-0.95 to 0.43)</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0.453</w:t>
            </w:r>
          </w:p>
        </w:tc>
        <w:tc>
          <w:tcPr>
            <w:tcW w:type="dxa" w:w="8856"/>
            <w:vAlign w:val="center"/>
            <w:shd w:fill="FFFFFF" w:val="clear"/>
          </w:tcPr>
          <w:p>
            <w:pPr>
              <w:keepNext w:val="0"/>
              <w:keepLines/>
              <w:spacing w:before="0" w:after="0" w:line="240" w:lineRule="auto"/>
              <w:ind w:firstLine="0"/>
              <w:jc w:val="left"/>
            </w:pPr>
            <w:r/>
            <w:r>
              <w:rPr>
                <w:rFonts w:ascii="Arial" w:hAnsi="Arial"/>
                <w:b w:val="0"/>
                <w:i w:val="0"/>
                <w:color w:val="333333"/>
                <w:sz w:val="20"/>
              </w:rPr>
              <w:t>No retained evidence that a cycle with 10 percentage points higher Daytime adherence had different Sleep adherence; the day-level claim is withheld because serial dependence remains unresolved.</w:t>
            </w:r>
          </w:p>
        </w:tc>
      </w:tr>
      <w:tr>
        <w:trPr>
          <w:cantSplit/>
        </w:trPr>
        <w:tc>
          <w:tcPr>
            <w:tcW w:type="dxa" w:w="1584"/>
            <w:vAlign w:val="center"/>
            <w:shd w:fill="F6F6F6" w:val="clear"/>
          </w:tcPr>
          <w:p>
            <w:pPr>
              <w:keepNext w:val="0"/>
              <w:keepLines/>
              <w:spacing w:before="0" w:after="0" w:line="240" w:lineRule="auto"/>
              <w:ind w:firstLine="0"/>
              <w:jc w:val="left"/>
            </w:pPr>
            <w:r/>
            <w:r>
              <w:rPr>
                <w:rFonts w:ascii="Arial" w:hAnsi="Arial"/>
                <w:b w:val="0"/>
                <w:i w:val="0"/>
                <w:color w:val="333333"/>
                <w:sz w:val="20"/>
              </w:rPr>
              <w:t>Pre-sleep</w:t>
            </w:r>
          </w:p>
        </w:tc>
        <w:tc>
          <w:tcPr>
            <w:tcW w:type="dxa" w:w="3456"/>
            <w:vAlign w:val="center"/>
            <w:shd w:fill="F6F6F6" w:val="clear"/>
          </w:tcPr>
          <w:p>
            <w:pPr>
              <w:keepNext w:val="0"/>
              <w:keepLines/>
              <w:spacing w:before="0" w:after="0" w:line="240" w:lineRule="auto"/>
              <w:ind w:firstLine="0"/>
              <w:jc w:val="center"/>
            </w:pPr>
            <w:r/>
            <w:r>
              <w:rPr>
                <w:rFonts w:ascii="Arial" w:hAnsi="Arial"/>
                <w:b w:val="0"/>
                <w:i w:val="0"/>
                <w:color w:val="333333"/>
                <w:sz w:val="20"/>
              </w:rPr>
              <w:t>-1.09 (-2.75 to 0.56)</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0.258</w:t>
            </w:r>
          </w:p>
        </w:tc>
        <w:tc>
          <w:tcPr>
            <w:tcW w:type="dxa" w:w="8856"/>
            <w:vAlign w:val="center"/>
            <w:shd w:fill="F6F6F6" w:val="clear"/>
          </w:tcPr>
          <w:p>
            <w:pPr>
              <w:keepNext w:val="0"/>
              <w:keepLines/>
              <w:spacing w:before="0" w:after="0" w:line="240" w:lineRule="auto"/>
              <w:ind w:firstLine="0"/>
              <w:jc w:val="left"/>
            </w:pPr>
            <w:r/>
            <w:r>
              <w:rPr>
                <w:rFonts w:ascii="Arial" w:hAnsi="Arial"/>
                <w:b w:val="0"/>
                <w:i w:val="0"/>
                <w:color w:val="333333"/>
                <w:sz w:val="20"/>
              </w:rPr>
              <w:t>No retained evidence that a cycle with 10 percentage points higher Daytime adherence had different Pre-sleep adherence; the day-level claim is withheld because serial dependence remains unresolved.</w:t>
            </w:r>
          </w:p>
        </w:tc>
      </w:tr>
      <w:tr>
        <w:trPr>
          <w:cantSplit/>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Between participants, observed monitoring-period average</w:t>
            </w:r>
          </w:p>
        </w:tc>
      </w:tr>
      <w:tr>
        <w:trPr>
          <w:cantSplit/>
        </w:trPr>
        <w:tc>
          <w:tcPr>
            <w:tcW w:type="dxa" w:w="1584"/>
            <w:vAlign w:val="center"/>
            <w:shd w:fill="F6F6F6" w:val="clear"/>
          </w:tcPr>
          <w:p>
            <w:pPr>
              <w:keepNext w:val="0"/>
              <w:keepLines/>
              <w:spacing w:before="0" w:after="0" w:line="240" w:lineRule="auto"/>
              <w:ind w:firstLine="0"/>
              <w:jc w:val="left"/>
            </w:pPr>
            <w:r/>
            <w:r>
              <w:rPr>
                <w:rFonts w:ascii="Arial" w:hAnsi="Arial"/>
                <w:b w:val="0"/>
                <w:i w:val="0"/>
                <w:color w:val="333333"/>
                <w:sz w:val="20"/>
              </w:rPr>
              <w:t>Sleep</w:t>
            </w:r>
          </w:p>
        </w:tc>
        <w:tc>
          <w:tcPr>
            <w:tcW w:type="dxa" w:w="3456"/>
            <w:vAlign w:val="center"/>
            <w:shd w:fill="F6F6F6" w:val="clear"/>
          </w:tcPr>
          <w:p>
            <w:pPr>
              <w:keepNext w:val="0"/>
              <w:keepLines/>
              <w:spacing w:before="0" w:after="0" w:line="240" w:lineRule="auto"/>
              <w:ind w:firstLine="0"/>
              <w:jc w:val="center"/>
            </w:pPr>
            <w:r/>
            <w:r>
              <w:rPr>
                <w:rFonts w:ascii="Arial" w:hAnsi="Arial"/>
                <w:b w:val="0"/>
                <w:i w:val="0"/>
                <w:color w:val="333333"/>
                <w:sz w:val="20"/>
              </w:rPr>
              <w:t>-2.52 (-3.55 to -1.48)</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&lt;0.001</w:t>
            </w:r>
          </w:p>
        </w:tc>
        <w:tc>
          <w:tcPr>
            <w:tcW w:type="dxa" w:w="8856"/>
            <w:vAlign w:val="center"/>
            <w:shd w:fill="F6F6F6" w:val="clear"/>
          </w:tcPr>
          <w:p>
            <w:pPr>
              <w:keepNext w:val="0"/>
              <w:keepLines/>
              <w:spacing w:before="0" w:after="0" w:line="240" w:lineRule="auto"/>
              <w:ind w:firstLine="0"/>
              <w:jc w:val="left"/>
            </w:pPr>
            <w:r/>
            <w:r>
              <w:rPr>
                <w:rFonts w:ascii="Arial" w:hAnsi="Arial"/>
                <w:b w:val="0"/>
                <w:i w:val="0"/>
                <w:color w:val="333333"/>
                <w:sz w:val="20"/>
              </w:rPr>
              <w:t>Participants with 10 percentage points higher average Daytime adherence had 2.52 percentage points lower average Sleep adherence over the monitoring period.</w:t>
            </w:r>
          </w:p>
        </w:tc>
      </w:tr>
      <w:tr>
        <w:trPr>
          <w:cantSplit/>
        </w:trPr>
        <w:tc>
          <w:tcPr>
            <w:tcW w:type="dxa" w:w="1584"/>
            <w:vAlign w:val="center"/>
            <w:shd w:fill="FFFFFF" w:val="clear"/>
          </w:tcPr>
          <w:p>
            <w:pPr>
              <w:keepNext w:val="0"/>
              <w:keepLines/>
              <w:spacing w:before="0" w:after="0" w:line="240" w:lineRule="auto"/>
              <w:ind w:firstLine="0"/>
              <w:jc w:val="left"/>
            </w:pPr>
            <w:r/>
            <w:r>
              <w:rPr>
                <w:rFonts w:ascii="Arial" w:hAnsi="Arial"/>
                <w:b w:val="0"/>
                <w:i w:val="0"/>
                <w:color w:val="333333"/>
                <w:sz w:val="20"/>
              </w:rPr>
              <w:t>Pre-sleep</w:t>
            </w:r>
          </w:p>
        </w:tc>
        <w:tc>
          <w:tcPr>
            <w:tcW w:type="dxa" w:w="3456"/>
            <w:vAlign w:val="center"/>
            <w:shd w:fill="FFFFFF" w:val="clear"/>
          </w:tcPr>
          <w:p>
            <w:pPr>
              <w:keepNext w:val="0"/>
              <w:keepLines/>
              <w:spacing w:before="0" w:after="0" w:line="240" w:lineRule="auto"/>
              <w:ind w:firstLine="0"/>
              <w:jc w:val="center"/>
            </w:pPr>
            <w:r/>
            <w:r>
              <w:rPr>
                <w:rFonts w:ascii="Arial" w:hAnsi="Arial"/>
                <w:b w:val="0"/>
                <w:i w:val="0"/>
                <w:color w:val="333333"/>
                <w:sz w:val="20"/>
              </w:rPr>
              <w:t>-3.59 (-5.94 to -1.25)</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0.005</w:t>
            </w:r>
          </w:p>
        </w:tc>
        <w:tc>
          <w:tcPr>
            <w:tcW w:type="dxa" w:w="8856"/>
            <w:vAlign w:val="center"/>
            <w:shd w:fill="FFFFFF" w:val="clear"/>
          </w:tcPr>
          <w:p>
            <w:pPr>
              <w:keepNext w:val="0"/>
              <w:keepLines/>
              <w:spacing w:before="0" w:after="0" w:line="240" w:lineRule="auto"/>
              <w:ind w:firstLine="0"/>
              <w:jc w:val="left"/>
            </w:pPr>
            <w:r/>
            <w:r>
              <w:rPr>
                <w:rFonts w:ascii="Arial" w:hAnsi="Arial"/>
                <w:b w:val="0"/>
                <w:i w:val="0"/>
                <w:color w:val="333333"/>
                <w:sz w:val="20"/>
              </w:rPr>
              <w:t>Participants with 10 percentage points higher average Daytime adherence had 3.59 percentage points lower average Pre-sleep adherence over the monitoring period.</w:t>
            </w:r>
          </w:p>
        </w:tc>
      </w:tr>
    </w:tbl>
    <w:p>
      <w:pPr>
        <w:keepNext/>
        <w:keepLines/>
        <w:spacing w:before="80" w:after="0" w:line="240" w:lineRule="auto"/>
        <w:ind w:firstLine="0"/>
        <w:jc w:val="left"/>
      </w:pPr>
      <w:r>
        <w:rPr>
          <w:rFonts w:ascii="Arial" w:hAnsi="Arial"/>
          <w:b w:val="0"/>
          <w:i w:val="0"/>
          <w:color w:val="444444"/>
          <w:sz w:val="18"/>
        </w:rPr>
        <w:t>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extLst>
                        <a:ext uri="{96DAC541-7B7A-43D3-8B79-37D633B846F1}">
                          <asvg:svgBlip xmlns:asvg="http://schemas.microsoft.com/office/drawing/2016/SVG/main" r:embed="rId51"/>
                        </a:ext>
                      </a:extLst>
                    </a:blip>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2"/>
        <w:pageBreakBefore w:val="0"/>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3840480" cy="768096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extLst>
                        <a:ext uri="{96DAC541-7B7A-43D3-8B79-37D633B846F1}">
                          <asvg:svgBlip xmlns:asvg="http://schemas.microsoft.com/office/drawing/2016/SVG/main" r:embed="rId53"/>
                        </a:ext>
                      </a:extLst>
                    </a:blip>
                    <a:stretch>
                      <a:fillRect/>
                    </a:stretch>
                  </pic:blipFill>
                  <pic:spPr>
                    <a:xfrm>
                      <a:off x="0" y="0"/>
                      <a:ext cx="3840480" cy="768096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S7. Geographic and photoperiod associations</w:t>
      </w:r>
    </w:p>
    <w:bookmarkStart w:id="331" w:name="supp-table-s7"/>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3024"/>
        <w:gridCol w:w="1440"/>
        <w:gridCol w:w="1512"/>
        <w:gridCol w:w="1512"/>
        <w:gridCol w:w="1512"/>
        <w:gridCol w:w="1296"/>
        <w:gridCol w:w="1656"/>
        <w:gridCol w:w="3240"/>
      </w:tblGrid>
      <w:tr>
        <w:trPr>
          <w:cantSplit/>
          <w:tblHeader/>
        </w:trPr>
        <w:tc>
          <w:tcPr>
            <w:tcW w:type="dxa" w:w="3024"/>
            <w:vMerge w:val="restart"/>
            <w:vAlign w:val="center"/>
            <w:shd w:fill="F1F3F5" w:val="clear"/>
          </w:tcPr>
          <w:p>
            <w:pPr>
              <w:keepNext w:val="0"/>
              <w:keepLines/>
              <w:spacing w:before="0" w:after="0" w:line="240" w:lineRule="auto"/>
              <w:ind w:firstLine="0"/>
              <w:jc w:val="left"/>
            </w:pPr>
            <w:r/>
          </w:p>
        </w:tc>
        <w:tc>
          <w:tcPr>
            <w:tcW w:type="dxa" w:w="1440"/>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Overall site FDR-adjusted p</w:t>
            </w:r>
          </w:p>
        </w:tc>
        <w:tc>
          <w:tcPr>
            <w:tcW w:type="dxa" w:w="302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Photoperiod </w:t>
            </w:r>
          </w:p>
        </w:tc>
        <w:tc>
          <w:tcPr>
            <w:tcW w:type="dxa" w:w="2808"/>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Latitude </w:t>
            </w:r>
          </w:p>
        </w:tc>
        <w:tc>
          <w:tcPr>
            <w:tcW w:type="dxa" w:w="1656"/>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Site-versus-latitude FDR-adjusted p</w:t>
            </w:r>
          </w:p>
        </w:tc>
        <w:tc>
          <w:tcPr>
            <w:tcW w:type="dxa" w:w="3240"/>
            <w:vMerge w:val="restart"/>
            <w:vAlign w:val="center"/>
            <w:shd w:fill="F1F3F5" w:val="clear"/>
          </w:tcPr>
          <w:p>
            <w:pPr>
              <w:keepNext w:val="0"/>
              <w:keepLines/>
              <w:spacing w:before="0" w:after="0" w:line="240" w:lineRule="auto"/>
              <w:ind w:firstLine="0"/>
              <w:jc w:val="left"/>
            </w:pPr>
            <w:r/>
            <w:r>
              <w:rPr>
                <w:rFonts w:ascii="Arial" w:hAnsi="Arial"/>
                <w:b/>
                <w:i w:val="0"/>
                <w:color w:val="333333"/>
                <w:sz w:val="20"/>
              </w:rPr>
              <w:t>Exact fitted sample</w:t>
            </w:r>
          </w:p>
        </w:tc>
      </w:tr>
      <w:tr>
        <w:trPr>
          <w:cantSplit/>
          <w:tblHeader/>
        </w:trPr>
        <w:tc>
          <w:tcPr>
            <w:tcW w:type="dxa" w:w="3024"/>
            <w:vMerge/>
          </w:tcPr>
          <w:p>
            <w:pPr>
              <w:keepNext w:val="0"/>
              <w:spacing w:before="0" w:after="0" w:line="240" w:lineRule="auto"/>
            </w:pPr>
          </w:p>
        </w:tc>
        <w:tc>
          <w:tcPr>
            <w:tcW w:type="dxa" w:w="1440"/>
            <w:vMerge/>
          </w:tcPr>
          <w:p>
            <w:pPr>
              <w:keepNext w:val="0"/>
              <w:spacing w:before="0" w:after="0" w:line="240" w:lineRule="auto"/>
            </w:pP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association (95% CI)</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FDR-adjusted p</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Latitude association per 10°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Latitude FDR-adjusted p</w:t>
            </w:r>
          </w:p>
        </w:tc>
        <w:tc>
          <w:tcPr>
            <w:tcW w:type="dxa" w:w="1656"/>
            <w:vMerge/>
          </w:tcPr>
          <w:p>
            <w:pPr>
              <w:keepNext w:val="0"/>
              <w:spacing w:before="0" w:after="0" w:line="240" w:lineRule="auto"/>
            </w:pPr>
          </w:p>
        </w:tc>
        <w:tc>
          <w:tcPr>
            <w:tcW w:type="dxa" w:w="3240"/>
            <w:vMerge/>
          </w:tcPr>
          <w:p>
            <w:pPr>
              <w:keepNext w:val="0"/>
              <w:spacing w:before="0" w:after="0" w:line="240" w:lineRule="auto"/>
            </w:pP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Dynamics</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Interdaily stability</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0.228</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×0.98 [0.94–1.02]</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0.401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×1.01 [0.96–1.06]</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0.175</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Intradaily variability</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0.483</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-0.02 [-0.06–0.02]</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0.327</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-0.04 [-0.08–0.01]</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0.139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0.723</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Level</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Mean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×1.18 [1.11–1.26]</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×1.15 [1.07–1.25]</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0.002</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0.032</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Brightest 10 h mean</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0.011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×1.24 [1.13–1.36]</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×1.24 [1.11–1.39]</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0.001</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0.325</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Darkest 10 h mean</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×1.09 [1.03–1.14]</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0.002</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×1.04 [0.97–1.11]</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0.400</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Duration</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Time above 1,000 lx melEDI</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0.071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×1.21 [1.13–1.29]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×1.03 [0.94–1.12]</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0.769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0.053</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Time above 250 lx melEDI during wake</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0.007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×1.14 [1.07–1.20]</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×1.12 [1.04–1.20]</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0.053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737</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Time below 10 lx melEDI before sleep</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0.049</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-0.13 [-0.20–-0.07]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0.00 [-0.09–0.09] h</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0.962</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0.040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139;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655</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Time below 1 lx melEDI during sleep</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0.058</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×0.99 [0.97–1.01]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0.227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×1.00 [0.97–1.02]</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i w:val="0"/>
                <w:color w:val="333333"/>
                <w:sz w:val="20"/>
              </w:rPr>
              <w:t>0.043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778</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Longest continuous period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0.398</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×1.12 [1.07–1.19]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×1.06 [0.99–1.13]</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0.139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0.626</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bl>
    <w:p>
      <w:pPr>
        <w:pageBreakBefore/>
        <w:spacing w:before="0" w:after="0" w:line="20" w:lineRule="exact"/>
      </w:pPr>
    </w:p>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3024"/>
        <w:gridCol w:w="1440"/>
        <w:gridCol w:w="1512"/>
        <w:gridCol w:w="1512"/>
        <w:gridCol w:w="1512"/>
        <w:gridCol w:w="1296"/>
        <w:gridCol w:w="1656"/>
        <w:gridCol w:w="3240"/>
      </w:tblGrid>
      <w:tr>
        <w:trPr>
          <w:cantSplit/>
          <w:tblHeader/>
        </w:trPr>
        <w:tc>
          <w:tcPr>
            <w:tcW w:type="dxa" w:w="3024"/>
            <w:vMerge w:val="restart"/>
            <w:vAlign w:val="center"/>
            <w:shd w:fill="F1F3F5" w:val="clear"/>
          </w:tcPr>
          <w:p>
            <w:pPr>
              <w:keepNext w:val="0"/>
              <w:keepLines/>
              <w:spacing w:before="0" w:after="0" w:line="240" w:lineRule="auto"/>
              <w:ind w:firstLine="0"/>
              <w:jc w:val="left"/>
            </w:pPr>
            <w:r/>
          </w:p>
        </w:tc>
        <w:tc>
          <w:tcPr>
            <w:tcW w:type="dxa" w:w="1440"/>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Overall site FDR-adjusted p</w:t>
            </w:r>
          </w:p>
        </w:tc>
        <w:tc>
          <w:tcPr>
            <w:tcW w:type="dxa" w:w="302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Photoperiod </w:t>
            </w:r>
          </w:p>
        </w:tc>
        <w:tc>
          <w:tcPr>
            <w:tcW w:type="dxa" w:w="2808"/>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Latitude </w:t>
            </w:r>
          </w:p>
        </w:tc>
        <w:tc>
          <w:tcPr>
            <w:tcW w:type="dxa" w:w="1656"/>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Site-versus-latitude FDR-adjusted p</w:t>
            </w:r>
          </w:p>
        </w:tc>
        <w:tc>
          <w:tcPr>
            <w:tcW w:type="dxa" w:w="3240"/>
            <w:vMerge w:val="restart"/>
            <w:vAlign w:val="center"/>
            <w:shd w:fill="F1F3F5" w:val="clear"/>
          </w:tcPr>
          <w:p>
            <w:pPr>
              <w:keepNext w:val="0"/>
              <w:keepLines/>
              <w:spacing w:before="0" w:after="0" w:line="240" w:lineRule="auto"/>
              <w:ind w:firstLine="0"/>
              <w:jc w:val="left"/>
            </w:pPr>
            <w:r/>
            <w:r>
              <w:rPr>
                <w:rFonts w:ascii="Arial" w:hAnsi="Arial"/>
                <w:b/>
                <w:i w:val="0"/>
                <w:color w:val="333333"/>
                <w:sz w:val="20"/>
              </w:rPr>
              <w:t>Exact fitted sample</w:t>
            </w:r>
          </w:p>
        </w:tc>
      </w:tr>
      <w:tr>
        <w:trPr>
          <w:cantSplit/>
          <w:tblHeader/>
        </w:trPr>
        <w:tc>
          <w:tcPr>
            <w:tcW w:type="dxa" w:w="3024"/>
            <w:vMerge/>
          </w:tcPr>
          <w:p>
            <w:pPr>
              <w:keepNext w:val="0"/>
              <w:spacing w:before="0" w:after="0" w:line="240" w:lineRule="auto"/>
            </w:pPr>
          </w:p>
        </w:tc>
        <w:tc>
          <w:tcPr>
            <w:tcW w:type="dxa" w:w="1440"/>
            <w:vMerge/>
          </w:tcPr>
          <w:p>
            <w:pPr>
              <w:keepNext w:val="0"/>
              <w:spacing w:before="0" w:after="0" w:line="240" w:lineRule="auto"/>
            </w:pP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association (95% CI)</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FDR-adjusted p</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Latitude association per 10°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Latitude FDR-adjusted p</w:t>
            </w:r>
          </w:p>
        </w:tc>
        <w:tc>
          <w:tcPr>
            <w:tcW w:type="dxa" w:w="1656"/>
            <w:vMerge/>
          </w:tcPr>
          <w:p>
            <w:pPr>
              <w:keepNext w:val="0"/>
              <w:spacing w:before="0" w:after="0" w:line="240" w:lineRule="auto"/>
            </w:pPr>
          </w:p>
        </w:tc>
        <w:tc>
          <w:tcPr>
            <w:tcW w:type="dxa" w:w="3240"/>
            <w:vMerge/>
          </w:tcPr>
          <w:p>
            <w:pPr>
              <w:keepNext w:val="0"/>
              <w:spacing w:before="0" w:after="0" w:line="240" w:lineRule="auto"/>
            </w:pP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Timing</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Midpoint of the brightest 10 hours</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0.05 [-0.05–0.15] h</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0.305</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0.19 [0.06–0.32]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0.010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Midpoint of the darkest 10 hours</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0.020</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-0.15 [-0.25–-0.05] h</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0.004</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0.12 [-0.00–0.24] h</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0.114</w:t>
            </w:r>
          </w:p>
        </w:tc>
        <w:tc>
          <w:tcPr>
            <w:tcW w:type="dxa" w:w="1656"/>
            <w:vAlign w:val="center"/>
            <w:shd w:fill="FFFFFF" w:val="clear"/>
          </w:tcPr>
          <w:p>
            <w:pPr>
              <w:keepNext w:val="0"/>
              <w:keepLines/>
              <w:spacing w:before="0" w:after="0" w:line="240" w:lineRule="auto"/>
              <w:ind w:firstLine="0"/>
              <w:jc w:val="center"/>
            </w:pPr>
            <w:r/>
            <w:r>
              <w:rPr>
                <w:rFonts w:ascii="Arial" w:hAnsi="Arial"/>
                <w:b/>
                <w:i w:val="0"/>
                <w:color w:val="333333"/>
                <w:sz w:val="20"/>
              </w:rPr>
              <w:t>0.043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Mean timing of exposure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0.12 [0.03–0.21]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0.33 [0.21–0.46]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742</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First light timing above 250 lx melEDI</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0.112</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-0.10 [-0.25–0.05] h</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0.227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0.02 [-0.17–0.21] h</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0.077</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140;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727</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Last light timing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0.32 [0.19–0.46]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0.46 [0.27–0.64]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687</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Exposure history</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melEDI dose</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0.209</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×1.28 [1.17–1.39]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×1.02 [0.91–1.13]</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0.156</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761</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Spectrum</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Melanopic daylight efficacy ratio</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0.02 [0.02–0.03]</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-0.01 [-0.02–-0.00]</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0.010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137;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702</w:t>
            </w:r>
          </w:p>
        </w:tc>
      </w:tr>
    </w:tbl>
    <w:p>
      <w:pPr>
        <w:keepNext/>
        <w:keepLines/>
        <w:spacing w:before="80" w:after="0" w:line="240" w:lineRule="auto"/>
        <w:ind w:firstLine="0"/>
        <w:jc w:val="left"/>
      </w:pPr>
      <w:r>
        <w:rPr>
          <w:rFonts w:ascii="Arial" w:hAnsi="Arial"/>
          <w:b w:val="0"/>
          <w:i w:val="0"/>
          <w:color w:val="444444"/>
          <w:sz w:val="18"/>
        </w:rPr>
        <w:t>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7928763" cy="5303520"/>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7928763" cy="5303520"/>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keepNext w:val="0"/>
        <w:keepLines/>
        <w:spacing w:before="0" w:after="0" w:line="240" w:lineRule="auto"/>
        <w:jc w:val="center"/>
      </w:pPr>
      <w:r>
        <w:drawing>
          <wp:inline distT="0" distB="0" distL="0" distR="0">
            <wp:extent cx="4305894" cy="6720840"/>
            <wp:docPr id="350" name="Figure 350" descr="Supplementary Figure S8"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tretch>
                      <a:fillRect/>
                    </a:stretch>
                  </pic:blipFill>
                  <pic:spPr>
                    <a:xfrm>
                      <a:off x="0" y="0"/>
                      <a:ext cx="4305894" cy="6720840"/>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bookmarkEnd w:id="336"/>
    <w:bookmarkEnd w:id="337"/>
    <w:bookmarkStart w:id="344" w:name="hourly-routine-analyses"/>
    <w:p>
      <w:pPr>
        <w:pStyle w:val="berschrift2"/>
        <w:pageBreakBefore/>
      </w:pPr>
      <w:r>
        <w:t xml:space="preserve">Hourly routine analyses</w:t>
      </w:r>
    </w:p>
    <w:bookmarkStart w:id="338" w:name="X7652973548e0e92457fc1c236fcb0c86891495d"/>
    <w:p>
      <w:pPr>
        <w:pStyle w:val="berschrift3"/>
        <w:keepNext/>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6"/>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extLst>
                        <a:ext uri="{96DAC541-7B7A-43D3-8B79-37D633B846F1}">
                          <asvg:svgBlip xmlns:asvg="http://schemas.microsoft.com/office/drawing/2016/SVG/main" r:embed="rId55"/>
                        </a:ext>
                      </a:extLst>
                    </a:blip>
                    <a:stretch>
                      <a:fillRect/>
                    </a:stretch>
                  </pic:blipFill>
                  <pic:spPr>
                    <a:xfrm>
                      <a:off x="0" y="0"/>
                      <a:ext cx="5715000" cy="4034146"/>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5687148" cy="685800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extLst>
                        <a:ext uri="{96DAC541-7B7A-43D3-8B79-37D633B846F1}">
                          <asvg:svgBlip xmlns:asvg="http://schemas.microsoft.com/office/drawing/2016/SVG/main" r:embed="rId56"/>
                        </a:ext>
                      </a:extLst>
                    </a:blip>
                    <a:stretch>
                      <a:fillRect/>
                    </a:stretch>
                  </pic:blipFill>
                  <pic:spPr>
                    <a:xfrm>
                      <a:off x="0" y="0"/>
                      <a:ext cx="5687148" cy="685800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5687148" cy="685800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extLst>
                        <a:ext uri="{96DAC541-7B7A-43D3-8B79-37D633B846F1}">
                          <asvg:svgBlip xmlns:asvg="http://schemas.microsoft.com/office/drawing/2016/SVG/main" r:embed="rId57"/>
                        </a:ext>
                      </a:extLst>
                    </a:blip>
                    <a:stretch>
                      <a:fillRect/>
                    </a:stretch>
                  </pic:blipFill>
                  <pic:spPr>
                    <a:xfrm>
                      <a:off x="0" y="0"/>
                      <a:ext cx="5687148" cy="685800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4"/>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38414"/>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9475064" cy="5303520"/>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9475064" cy="5303520"/>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5715000" cy="57150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extLst>
                        <a:ext uri="{96DAC541-7B7A-43D3-8B79-37D633B846F1}">
                          <asvg:svgBlip xmlns:asvg="http://schemas.microsoft.com/office/drawing/2016/SVG/main" r:embed="rId61"/>
                        </a:ext>
                      </a:extLst>
                    </a:blip>
                    <a:stretch>
                      <a:fillRect/>
                    </a:stretch>
                  </pic:blipFill>
                  <pic:spPr>
                    <a:xfrm>
                      <a:off x="0" y="0"/>
                      <a:ext cx="5715000" cy="57150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8506542" cy="530352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8506542" cy="530352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Adjusted chronotype associations</w:t>
      </w:r>
    </w:p>
    <w:p>
      <w:pPr>
        <w:keepLines/>
        <w:pageBreakBefore w:val="0"/>
        <w:spacing w:before="0" w:after="0" w:line="240" w:lineRule="auto"/>
        <w:jc w:val="center"/>
      </w:pPr>
      <w:r>
        <w:drawing>
          <wp:inline distT="0" distB="0" distL="0" distR="0">
            <wp:extent cx="5715000" cy="3537857"/>
            <wp:docPr id="358" name="Figure 358" descr="Supplementary Figure S15"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7">
                      <a:extLst>
                        <a:ext uri="{96DAC541-7B7A-43D3-8B79-37D633B846F1}">
                          <asvg:svgBlip xmlns:asvg="http://schemas.microsoft.com/office/drawing/2016/SVG/main" r:embed="rId67"/>
                        </a:ext>
                      </a:extLst>
                    </a:blip>
                    <a:stretch>
                      <a:fillRect/>
                    </a:stretch>
                  </pic:blipFill>
                  <pic:spPr>
                    <a:xfrm>
                      <a:off x="0" y="0"/>
                      <a:ext cx="5715000" cy="3537857"/>
                    </a:xfrm>
                    <a:prstGeom prst="rect">
                      <a:avLst/>
                    </a:prstGeom>
                  </pic:spPr>
                </pic:pic>
              </a:graphicData>
            </a:graphic>
          </wp:inline>
        </w:drawing>
      </w:r>
    </w:p>
    <w:p>
      <w:pPr>
        <w:pStyle w:val="Textkrper"/>
        <w:keepNext w:val="0"/>
        <w:keepLines/>
        <w:spacing w:line="240" w:lineRule="auto" w:before="80" w:after="80"/>
        <w:jc w:val="left"/>
      </w:pPr>
      <w:r>
        <w:t xml:space="preserve">Supplementary Figure S15. Chronotype and timing of personal light exposure. Study-site-adjusted associations of sleep-timing-based corrected midsleep on Free days and questionnaire-based morningness-eveningness with the analysed timing metrics. Points are estimates and bars are 95% confidence intervals; the two chronotype instruments remain separate. Near-eye estimates provide ocular-exposure evidence; chest estimates, where shown, are complementary non-ocular evidence.</w:t>
      </w:r>
    </w:p>
    <w:p>
      <w:pPr>
        <w:pStyle w:val="berschrift3"/>
        <w:keepNext/>
        <w:pageBreakBefore w:val="0"/>
      </w:pPr>
      <w:bookmarkStart w:id="382" w:name="fig-s16"/>
      <w:bookmarkEnd w:id="382"/>
      <w:r>
        <w:t xml:space="preserve">Supplementary Figure S16. Observed timing across chronotype and study sites</w:t>
      </w:r>
    </w:p>
    <w:p>
      <w:pPr>
        <w:keepNext/>
        <w:keepLines/>
        <w:pageBreakBefore w:val="0"/>
        <w:spacing w:before="0" w:after="0" w:line="240" w:lineRule="auto"/>
        <w:jc w:val="center"/>
      </w:pPr>
      <w:r>
        <w:drawing>
          <wp:inline distT="0" distB="0" distL="0" distR="0">
            <wp:extent cx="5715000" cy="4626429"/>
            <wp:docPr id="359" name="Figure 359" descr="Supplementary Figure S16"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9">
                      <a:extLst>
                        <a:ext uri="{96DAC541-7B7A-43D3-8B79-37D633B846F1}">
                          <asvg:svgBlip xmlns:asvg="http://schemas.microsoft.com/office/drawing/2016/SVG/main" r:embed="rId69"/>
                        </a:ext>
                      </a:extLst>
                    </a:blip>
                    <a:stretch>
                      <a:fillRect/>
                    </a:stretch>
                  </pic:blipFill>
                  <pic:spPr>
                    <a:xfrm>
                      <a:off x="0" y="0"/>
                      <a:ext cx="5715000" cy="4626429"/>
                    </a:xfrm>
                    <a:prstGeom prst="rect">
                      <a:avLst/>
                    </a:prstGeom>
                  </pic:spPr>
                </pic:pic>
              </a:graphicData>
            </a:graphic>
          </wp:inline>
        </w:drawing>
      </w:r>
    </w:p>
    <w:p>
      <w:pPr>
        <w:pStyle w:val="Textkrper"/>
        <w:keepNext w:val="0"/>
        <w:keepLines/>
        <w:spacing w:line="240" w:lineRule="auto" w:before="80" w:after="80"/>
        <w:jc w:val="left"/>
      </w:pPr>
      <w:r>
        <w:t xml:space="preserve">Supplementary Figure S16. Observed timing across chronotype and study sites. Observed participant-day timing values across chronotype and country-coded study sites for the samples used in the corresponding models. Each point represents one participant-day in a fitted sample. This figure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bookmarkEnd w:id="351"/>
    <w:bookmarkEnd w:id="352"/>
    <w:bookmarkStart w:id="354" w:name="X5ea8c111c320bfc9b2f54f225e8746c79488ceb"/>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pageBreakBefore w:val="0"/>
      </w:pPr>
      <w:bookmarkStart w:id="380" w:name="fig-s17"/>
      <w:bookmarkEnd w:id="380"/>
      <w:r>
        <w:t xml:space="preserve">Supplementary Figure S17 and Table S14. Age and biological sex</w:t>
      </w:r>
    </w:p>
    <w:p>
      <w:pPr>
        <w:keepNext/>
        <w:keepLines/>
        <w:pageBreakBefore w:val="0"/>
        <w:spacing w:before="0" w:after="0" w:line="240" w:lineRule="auto"/>
        <w:jc w:val="center"/>
      </w:pPr>
      <w:r>
        <w:drawing>
          <wp:inline distT="0" distB="0" distL="0" distR="0">
            <wp:extent cx="5719220" cy="7909560"/>
            <wp:docPr id="360" name="Figure 360" descr="Supplementary Figure S17" title="Supplementary Figure S16"/>
            <wp:cNvGraphicFramePr>
              <a:graphicFrameLocks noChangeAspect="1"/>
            </wp:cNvGraphicFramePr>
            <a:graphic>
              <a:graphicData uri="http://schemas.openxmlformats.org/drawingml/2006/picture">
                <pic:pic>
                  <pic:nvPicPr>
                    <pic:cNvPr id="0" name="Accepted SVG"/>
                    <pic:cNvPicPr/>
                  </pic:nvPicPr>
                  <pic:blipFill>
                    <a:blip r:embed="rId71">
                      <a:extLst>
                        <a:ext uri="{96DAC541-7B7A-43D3-8B79-37D633B846F1}">
                          <asvg:svgBlip xmlns:asvg="http://schemas.microsoft.com/office/drawing/2016/SVG/main" r:embed="rId71"/>
                        </a:ext>
                      </a:extLst>
                    </a:blip>
                    <a:stretch>
                      <a:fillRect/>
                    </a:stretch>
                  </pic:blipFill>
                  <pic:spPr>
                    <a:xfrm>
                      <a:off x="0" y="0"/>
                      <a:ext cx="5719220" cy="7909560"/>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8868828" cy="530352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8868828" cy="530352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8"/>
      <w:bookmarkEnd w:id="381"/>
      <w:r>
        <w:t xml:space="preserve">Supplementary Figure S18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5715000" cy="5987143"/>
            <wp:docPr id="361" name="Figure 361" descr="Supplementary Figure S18" title="Supplementary Figure S17"/>
            <wp:cNvGraphicFramePr>
              <a:graphicFrameLocks noChangeAspect="1"/>
            </wp:cNvGraphicFramePr>
            <a:graphic>
              <a:graphicData uri="http://schemas.openxmlformats.org/drawingml/2006/picture">
                <pic:pic>
                  <pic:nvPicPr>
                    <pic:cNvPr id="0" name="Accepted SVG"/>
                    <pic:cNvPicPr/>
                  </pic:nvPicPr>
                  <pic:blipFill>
                    <a:blip r:embed="rId73">
                      <a:extLst>
                        <a:ext uri="{96DAC541-7B7A-43D3-8B79-37D633B846F1}">
                          <asvg:svgBlip xmlns:asvg="http://schemas.microsoft.com/office/drawing/2016/SVG/main" r:embed="rId73"/>
                        </a:ext>
                      </a:extLst>
                    </a:blip>
                    <a:stretch>
                      <a:fillRect/>
                    </a:stretch>
                  </pic:blipFill>
                  <pic:spPr>
                    <a:xfrm>
                      <a:off x="0" y="0"/>
                      <a:ext cx="5715000" cy="5987143"/>
                    </a:xfrm>
                    <a:prstGeom prst="rect">
                      <a:avLst/>
                    </a:prstGeom>
                  </pic:spPr>
                </pic:pic>
              </a:graphicData>
            </a:graphic>
          </wp:inline>
        </w:drawing>
      </w:r>
    </w:p>
    <w:p>
      <w:pPr>
        <w:pStyle w:val="Textkrper"/>
        <w:keepNext w:val="0"/>
        <w:keepLines/>
        <w:spacing w:line="240" w:lineRule="auto" w:before="80" w:after="80"/>
        <w:jc w:val="left"/>
      </w:pPr>
      <w:r>
        <w:t xml:space="preserve">Supplementary Figure S18.</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nh_supplementary_figure_s1.svg"/><Relationship Id="rId46" Type="http://schemas.openxmlformats.org/officeDocument/2006/relationships/image" Target="media/nh_supplementary_figure_s2.svg"/><Relationship Id="rId47" Type="http://schemas.openxmlformats.org/officeDocument/2006/relationships/image" Target="media/nh_supplementary_figure_s3.svg"/><Relationship Id="rId48" Type="http://schemas.openxmlformats.org/officeDocument/2006/relationships/image" Target="media/nh_supplementary_figure_s4.svg"/><Relationship Id="rId49" Type="http://schemas.openxmlformats.org/officeDocument/2006/relationships/image" Target="media/nh_supplementary_figure_s5a.svg"/><Relationship Id="rId50" Type="http://schemas.openxmlformats.org/officeDocument/2006/relationships/image" Target="media/nh_supplementary_figure_s5b.svg"/><Relationship Id="rId51" Type="http://schemas.openxmlformats.org/officeDocument/2006/relationships/image" Target="media/nh_supplementary_figure_s6.svg"/><Relationship Id="rId52" Type="http://schemas.openxmlformats.org/officeDocument/2006/relationships/image" Target="media/nh_supplementary_figure_s7a.svg"/><Relationship Id="rId53" Type="http://schemas.openxmlformats.org/officeDocument/2006/relationships/image" Target="media/nh_supplementary_figure_s7b.svg"/><Relationship Id="rId54" Type="http://schemas.openxmlformats.org/officeDocument/2006/relationships/image" Target="media/nh_supplementary_figure_s8.svg"/><Relationship Id="rId55" Type="http://schemas.openxmlformats.org/officeDocument/2006/relationships/image" Target="media/nh_supplementary_figure_s9.svg"/><Relationship Id="rId56" Type="http://schemas.openxmlformats.org/officeDocument/2006/relationships/image" Target="media/nh_supplementary_figure_s10.svg"/><Relationship Id="rId57" Type="http://schemas.openxmlformats.org/officeDocument/2006/relationships/image" Target="media/nh_supplementary_figure_s11.svg"/><Relationship Id="rId58" Type="http://schemas.openxmlformats.org/officeDocument/2006/relationships/image" Target="media/nh_supplementary_figure_s12.svg"/><Relationship Id="rId61" Type="http://schemas.openxmlformats.org/officeDocument/2006/relationships/image" Target="media/nh_supplementary_figure_s13.svg"/><Relationship Id="rId65" Type="http://schemas.openxmlformats.org/officeDocument/2006/relationships/image" Target="media/nh_supplementary_figure_s14.svg"/><Relationship Id="rId67" Type="http://schemas.openxmlformats.org/officeDocument/2006/relationships/image" Target="media/nh_supplementary_figure_s15a.svg"/><Relationship Id="rId69" Type="http://schemas.openxmlformats.org/officeDocument/2006/relationships/image" Target="media/nh_supplementary_figure_s15b.svg"/><Relationship Id="rId71" Type="http://schemas.openxmlformats.org/officeDocument/2006/relationships/image" Target="media/nh_supplementary_figure_s16.svg"/><Relationship Id="rId73"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