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2. Recommendation adherence</w:t>
      </w:r>
    </w:p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 w:val="0"/>
          <w:i w:val="0"/>
          <w:color w:val="333333"/>
          <w:sz w:val="20"/>
        </w:rPr>
        <w:t xml:space="preserve"> Table 2: Recommendation adherence by Brown et al. recommendation window and day type. Observed valid-minute fractions are descriptive; work-day and free-day estimates and their difference are model-based, with 95% confidence intervals and false-discovery-rate-adjusted p-values. Each of nine sites receives equal weight in the model estimates. Daytime, Pre-sleep and Sleep identify the recommendation windows: daytime excludes the three hours before reported sleep, pre-sleep comprises those three hours, and sleep describes the bedside sleep environment. The wake-start date assigns the day type to the preceding sleep, daytime and following pre-sleep windows; each window qualifies independently. Only the primary any-valid sample is shown: 2,298 periods, 140 participants, 794 cycles and 1,043,192 valid minutes. The 80% coverage sensitivity remains reported in the Results and Methods; its pre-sleep interval includes zero, and temporal dependence remains unresolved. Confidence-interval exclusion and FDR decisions are separate summaries. Descriptive pooled-minute fractions are detailed in Supplementary Table S3. Adherence does not classify participants. 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2033"/>
        <w:gridCol w:w="2934"/>
        <w:gridCol w:w="2657"/>
        <w:gridCol w:w="2080"/>
        <w:gridCol w:w="2080"/>
        <w:gridCol w:w="2311"/>
        <w:gridCol w:w="1155"/>
      </w:tblGrid>
      <w:tr>
        <w:trPr>
          <w:cantSplit/>
          <w:tblHeader/>
        </w:trPr>
        <w:tc>
          <w:tcPr>
            <w:tcW w:type="dxa" w:w="15250"/>
            <w:gridSpan w:val="7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Recommendation adherence by recommendation window and day type</w:t>
            </w:r>
          </w:p>
        </w:tc>
      </w:tr>
      <w:tr>
        <w:trPr>
          <w:cantSplit/>
          <w:tblHeader/>
        </w:trPr>
        <w:tc>
          <w:tcPr>
            <w:tcW w:type="dxa" w:w="2033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Recommendation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window</w:t>
            </w:r>
          </w:p>
        </w:tc>
        <w:tc>
          <w:tcPr>
            <w:tcW w:type="dxa" w:w="2934"/>
            <w:vMerge w:val="restart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Recommendation</w:t>
            </w:r>
          </w:p>
        </w:tc>
        <w:tc>
          <w:tcPr>
            <w:tcW w:type="dxa" w:w="2657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Observed pooled-minute adherence</w:t>
            </w:r>
          </w:p>
        </w:tc>
        <w:tc>
          <w:tcPr>
            <w:tcW w:type="dxa" w:w="7625"/>
            <w:gridSpan w:val="4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Site-average recommendation-window model</w:t>
            </w:r>
          </w:p>
        </w:tc>
      </w:tr>
      <w:tr>
        <w:trPr>
          <w:cantSplit/>
          <w:tblHeader/>
        </w:trPr>
        <w:tc>
          <w:tcPr>
            <w:tcW w:type="dxa" w:w="2033"/>
            <w:vMerge/>
          </w:tcPr>
          <w:p/>
        </w:tc>
        <w:tc>
          <w:tcPr>
            <w:tcW w:type="dxa" w:w="2934"/>
            <w:vMerge/>
          </w:tcPr>
          <w:p/>
        </w:tc>
        <w:tc>
          <w:tcPr>
            <w:tcW w:type="dxa" w:w="2657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Valid minutes meeting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recommendation, n/N (%)</w:t>
            </w:r>
          </w:p>
        </w:tc>
        <w:tc>
          <w:tcPr>
            <w:tcW w:type="dxa" w:w="208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Work-day adherence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% (95% CI)</w:t>
            </w:r>
          </w:p>
        </w:tc>
        <w:tc>
          <w:tcPr>
            <w:tcW w:type="dxa" w:w="2080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Free-day adherence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% (95% CI)</w:t>
            </w:r>
          </w:p>
        </w:tc>
        <w:tc>
          <w:tcPr>
            <w:tcW w:type="dxa" w:w="2311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Free minus Work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percentage points (95% CI)</w:t>
            </w:r>
          </w:p>
        </w:tc>
        <w:tc>
          <w:tcPr>
            <w:tcW w:type="dxa" w:w="1155"/>
            <w:vAlign w:val="center"/>
            <w:shd w:fill="F1F3F5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FDR-adjusted</w:t>
            </w:r>
            <w:r>
              <w:br/>
            </w:r>
            <w:r>
              <w:rPr>
                <w:rFonts w:ascii="Arial" w:hAnsi="Arial"/>
                <w:b/>
                <w:i w:val="0"/>
                <w:color w:val="333333"/>
                <w:sz w:val="20"/>
              </w:rPr>
              <w:t xml:space="preserve"> p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Daytime</w:t>
            </w:r>
          </w:p>
        </w:tc>
        <w:tc>
          <w:tcPr>
            <w:tcW w:type="dxa" w:w="293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At least 250 lx melanopic EDI during wake, excluding the three hours before sleep</w:t>
            </w:r>
          </w:p>
        </w:tc>
        <w:tc>
          <w:tcPr>
            <w:tcW w:type="dxa" w:w="2657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137,792/573,712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(24.0%)</w:t>
            </w:r>
          </w:p>
        </w:tc>
        <w:tc>
          <w:tcPr>
            <w:tcW w:type="dxa" w:w="208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26.6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(24.5 to 28.7)</w:t>
            </w:r>
          </w:p>
        </w:tc>
        <w:tc>
          <w:tcPr>
            <w:tcW w:type="dxa" w:w="2080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21.5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(19.2 to 23.8)</w:t>
            </w:r>
          </w:p>
        </w:tc>
        <w:tc>
          <w:tcPr>
            <w:tcW w:type="dxa" w:w="231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-5.1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(-7.8 to -2.4)</w:t>
            </w:r>
          </w:p>
        </w:tc>
        <w:tc>
          <w:tcPr>
            <w:tcW w:type="dxa" w:w="1155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&lt;0.001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Pre-sleep</w:t>
            </w:r>
          </w:p>
        </w:tc>
        <w:tc>
          <w:tcPr>
            <w:tcW w:type="dxa" w:w="2934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 more than 10 lx melanopic EDI during the three hours before reported sleep</w:t>
            </w:r>
          </w:p>
        </w:tc>
        <w:tc>
          <w:tcPr>
            <w:tcW w:type="dxa" w:w="2657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81,894/129,390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(63.3%)</w:t>
            </w:r>
          </w:p>
        </w:tc>
        <w:tc>
          <w:tcPr>
            <w:tcW w:type="dxa" w:w="208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62.0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(58.8 to 65.2)</w:t>
            </w:r>
          </w:p>
        </w:tc>
        <w:tc>
          <w:tcPr>
            <w:tcW w:type="dxa" w:w="2080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67.9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(64.2 to 71.6)</w:t>
            </w:r>
          </w:p>
        </w:tc>
        <w:tc>
          <w:tcPr>
            <w:tcW w:type="dxa" w:w="231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+5.9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(+1.4 to +10.5)</w:t>
            </w:r>
          </w:p>
        </w:tc>
        <w:tc>
          <w:tcPr>
            <w:tcW w:type="dxa" w:w="1155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0.011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Sleep</w:t>
            </w:r>
          </w:p>
        </w:tc>
        <w:tc>
          <w:tcPr>
            <w:tcW w:type="dxa" w:w="2934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 more than 1 lx melanopic EDI during reported sleep; bedside sleep environment</w:t>
            </w:r>
          </w:p>
        </w:tc>
        <w:tc>
          <w:tcPr>
            <w:tcW w:type="dxa" w:w="2657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336,052/383,366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(87.7%)</w:t>
            </w:r>
          </w:p>
        </w:tc>
        <w:tc>
          <w:tcPr>
            <w:tcW w:type="dxa" w:w="2080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90.4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(88.9 to 91.9)</w:t>
            </w:r>
          </w:p>
        </w:tc>
        <w:tc>
          <w:tcPr>
            <w:tcW w:type="dxa" w:w="2080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83.9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(81.4 to 86.5)</w:t>
            </w:r>
          </w:p>
        </w:tc>
        <w:tc>
          <w:tcPr>
            <w:tcW w:type="dxa" w:w="2311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-6.5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 xml:space="preserve"> </w:t>
            </w:r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(-9.1 to -3.8)</w:t>
            </w:r>
          </w:p>
        </w:tc>
        <w:tc>
          <w:tcPr>
            <w:tcW w:type="dxa" w:w="1155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&lt;0.001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Observed pooled-minute fractions and fitted recommendation-window estimates are different quantities. Each of the nine sites contributes equally to the fitted estimates; the displayed model results use only the primary any-valid sample.</w:t>
      </w:r>
    </w:p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The recommendation boundaries are inclusive: daytime ≥250 lx, pre-sleep ≤10 lx and sleep ≤1 lx melanopic EDI. Near-eye measurements describe ocular exposure during wear; reported sleep describes the bedside sleep environment, not worn ocular exposure. Chest measurements are not pooled here.</w:t>
      </w:r>
    </w:p>
    <w:p>
      <w:pPr>
        <w:keepNext w:val="0"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Day type is assigned from the wake-start date to the preceding sleep, daytime and following pre-sleep windows; windows qualify independently. Temporal dependence remained unresolved. The 80% coverage sensitivity, including the inconclusive pre-sleep interval, is reported in the Results and Methods, not as additional rows here.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