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spacing w:before="0" w:after="160" w:line="240" w:lineRule="auto"/>
        <w:ind w:firstLine="0"/>
        <w:jc w:val="left"/>
      </w:pPr>
      <w:r>
        <w:rPr>
          <w:rFonts w:ascii="Arial" w:hAnsi="Arial"/>
          <w:b/>
          <w:i w:val="0"/>
          <w:color w:val="000000"/>
          <w:sz w:val="28"/>
        </w:rPr>
        <w:t>Table S6. Chest fitted-curve dispersion and full-model R² allocation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  <w:tblBorders>
          <w:top w:val="single" w:sz="3" w:color="D9D9D9"/>
          <w:bottom w:val="single" w:sz="3" w:color="D9D9D9"/>
          <w:left w:val="single" w:sz="3" w:color="D9D9D9"/>
          <w:right w:val="single" w:sz="3" w:color="D9D9D9"/>
          <w:insideH w:val="single" w:sz="3" w:color="D9D9D9"/>
          <w:insideV w:val="single" w:sz="3" w:color="D9D9D9"/>
        </w:tblBorders>
        <w:tblCellMar>
          <w:top w:w="65" w:type="dxa"/>
          <w:bottom w:w="65" w:type="dxa"/>
          <w:left w:w="55" w:type="dxa"/>
          <w:right w:w="55" w:type="dxa"/>
        </w:tblCellMar>
      </w:tblPr>
      <w:tblGrid>
        <w:gridCol w:w="3558"/>
        <w:gridCol w:w="3631"/>
        <w:gridCol w:w="4139"/>
        <w:gridCol w:w="3921"/>
      </w:tblGrid>
      <w:tr>
        <w:trPr>
          <w:cantSplit/>
          <w:tblHeader/>
        </w:trPr>
        <w:tc>
          <w:tcPr>
            <w:tcW w:type="dxa" w:w="15250"/>
            <w:gridSpan w:val="4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center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Complementary chest fitted-curve dispersion and conditional Shapley allocation</w:t>
            </w:r>
          </w:p>
        </w:tc>
      </w:tr>
      <w:tr>
        <w:trPr>
          <w:cantSplit/>
          <w:tblHeader/>
        </w:trPr>
        <w:tc>
          <w:tcPr>
            <w:tcW w:type="dxa" w:w="35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</w:p>
        </w:tc>
        <w:tc>
          <w:tcPr>
            <w:tcW w:type="dxa" w:w="363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Fitted-curve result (95% CI)</w:t>
            </w:r>
          </w:p>
        </w:tc>
        <w:tc>
          <w:tcPr>
            <w:tcW w:type="dxa" w:w="413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Conditional Shapley result (95% CI)</w:t>
            </w:r>
          </w:p>
        </w:tc>
        <w:tc>
          <w:tcPr>
            <w:tcW w:type="dxa" w:w="392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Share (95% CI)</w:t>
            </w:r>
          </w:p>
        </w:tc>
      </w:tr>
      <w:tr>
        <w:trPr>
          <w:cantSplit/>
        </w:trPr>
        <w:tc>
          <w:tcPr>
            <w:tcW w:type="dxa" w:w="15250"/>
            <w:gridSpan w:val="4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Component summaries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Shared local-clock curve</w:t>
            </w:r>
          </w:p>
        </w:tc>
        <w:tc>
          <w:tcPr>
            <w:tcW w:type="dxa" w:w="363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Not applicable</w:t>
            </w:r>
          </w:p>
        </w:tc>
        <w:tc>
          <w:tcPr>
            <w:tcW w:type="dxa" w:w="413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0.583 (0.523 to 0.629)</w:t>
            </w:r>
          </w:p>
        </w:tc>
        <w:tc>
          <w:tcPr>
            <w:tcW w:type="dxa" w:w="392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79.1% (73.6% to 82.8%)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Site pattern</w:t>
            </w:r>
          </w:p>
        </w:tc>
        <w:tc>
          <w:tcPr>
            <w:tcW w:type="dxa" w:w="3631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0.101 (0.049 to 0.116)</w:t>
            </w:r>
          </w:p>
        </w:tc>
        <w:tc>
          <w:tcPr>
            <w:tcW w:type="dxa" w:w="413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0.015 (0.008 to 0.024)</w:t>
            </w:r>
          </w:p>
        </w:tc>
        <w:tc>
          <w:tcPr>
            <w:tcW w:type="dxa" w:w="3921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2.1% (1.1% to 3.3%)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Participant pattern</w:t>
            </w:r>
          </w:p>
        </w:tc>
        <w:tc>
          <w:tcPr>
            <w:tcW w:type="dxa" w:w="363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0.148 (0.100 to 0.199)</w:t>
            </w:r>
          </w:p>
        </w:tc>
        <w:tc>
          <w:tcPr>
            <w:tcW w:type="dxa" w:w="413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0.087 (0.071 to 0.110)</w:t>
            </w:r>
          </w:p>
        </w:tc>
        <w:tc>
          <w:tcPr>
            <w:tcW w:type="dxa" w:w="392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11.9% (9.5% to 15.3%)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Participant-day shift</w:t>
            </w:r>
          </w:p>
        </w:tc>
        <w:tc>
          <w:tcPr>
            <w:tcW w:type="dxa" w:w="3631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0.035 (0.020 to 0.039)</w:t>
            </w:r>
          </w:p>
        </w:tc>
        <w:tc>
          <w:tcPr>
            <w:tcW w:type="dxa" w:w="4139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0.051 (0.040 to 0.067)</w:t>
            </w:r>
          </w:p>
        </w:tc>
        <w:tc>
          <w:tcPr>
            <w:tcW w:type="dxa" w:w="3921"/>
            <w:vAlign w:val="center"/>
            <w:shd w:fill="F6F6F6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7.0% (5.3% to 9.4%)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Participant pattern + day shift</w:t>
            </w:r>
          </w:p>
        </w:tc>
        <w:tc>
          <w:tcPr>
            <w:tcW w:type="dxa" w:w="363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0.183 (0.127 to 0.228)</w:t>
            </w:r>
          </w:p>
        </w:tc>
        <w:tc>
          <w:tcPr>
            <w:tcW w:type="dxa" w:w="413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Not separately allocated</w:t>
            </w:r>
          </w:p>
        </w:tc>
        <w:tc>
          <w:tcPr>
            <w:tcW w:type="dxa" w:w="392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Not applicable</w:t>
            </w:r>
          </w:p>
        </w:tc>
      </w:tr>
      <w:tr>
        <w:trPr>
          <w:cantSplit/>
        </w:trPr>
        <w:tc>
          <w:tcPr>
            <w:tcW w:type="dxa" w:w="15250"/>
            <w:gridSpan w:val="4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Participant-to-site comparisons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Participant / site</w:t>
            </w:r>
          </w:p>
        </w:tc>
        <w:tc>
          <w:tcPr>
            <w:tcW w:type="dxa" w:w="363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1.465 (0.973 to 3.179)</w:t>
            </w:r>
          </w:p>
        </w:tc>
        <w:tc>
          <w:tcPr>
            <w:tcW w:type="dxa" w:w="4139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5.69 (3.72 to 10.68)</w:t>
            </w:r>
          </w:p>
        </w:tc>
        <w:tc>
          <w:tcPr>
            <w:tcW w:type="dxa" w:w="3921"/>
            <w:vAlign w:val="center"/>
            <w:shd w:fill="FFFFFF" w:val="clear"/>
          </w:tcPr>
          <w:p>
            <w:pPr>
              <w:keepNext w:val="0"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Not applicable</w:t>
            </w:r>
          </w:p>
        </w:tc>
      </w:tr>
      <w:tr>
        <w:trPr>
          <w:cantSplit/>
        </w:trPr>
        <w:tc>
          <w:tcPr>
            <w:tcW w:type="dxa" w:w="3558"/>
            <w:vAlign w:val="center"/>
            <w:shd w:fill="FFFFFF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/>
                <w:i w:val="0"/>
                <w:color w:val="333333"/>
                <w:sz w:val="20"/>
              </w:rPr>
              <w:t>(Participant + day) / site</w:t>
            </w:r>
          </w:p>
        </w:tc>
        <w:tc>
          <w:tcPr>
            <w:tcW w:type="dxa" w:w="3631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1.809 (1.219 to 3.736)</w:t>
            </w:r>
          </w:p>
        </w:tc>
        <w:tc>
          <w:tcPr>
            <w:tcW w:type="dxa" w:w="4139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9.02 (6.01 to 17.03)</w:t>
            </w:r>
          </w:p>
        </w:tc>
        <w:tc>
          <w:tcPr>
            <w:tcW w:type="dxa" w:w="3921"/>
            <w:vAlign w:val="center"/>
            <w:shd w:fill="F6F6F6" w:val="clear"/>
          </w:tcPr>
          <w:p>
            <w:pPr>
              <w:keepNext/>
              <w:keepLines/>
              <w:spacing w:before="0" w:after="0" w:line="240" w:lineRule="auto"/>
              <w:ind w:firstLine="0"/>
              <w:jc w:val="left"/>
            </w:pPr>
            <w:r/>
            <w:r>
              <w:rPr>
                <w:rFonts w:ascii="Arial" w:hAnsi="Arial"/>
                <w:b w:val="0"/>
                <w:i w:val="0"/>
                <w:color w:val="333333"/>
                <w:sz w:val="20"/>
              </w:rPr>
              <w:t>90.0% (85.7% to 94.5%)</w:t>
            </w:r>
          </w:p>
        </w:tc>
      </w:tr>
    </w:tbl>
    <w:p>
      <w:pPr>
        <w:keepNext/>
        <w:keepLines/>
        <w:spacing w:before="80" w:after="0" w:line="240" w:lineRule="auto"/>
        <w:ind w:firstLine="0"/>
        <w:jc w:val="left"/>
      </w:pPr>
      <w:r>
        <w:rPr>
          <w:rFonts w:ascii="Arial" w:hAnsi="Arial"/>
          <w:b w:val="0"/>
          <w:i w:val="0"/>
          <w:color w:val="444444"/>
          <w:sz w:val="18"/>
        </w:rPr>
        <w:t>Full-model in-sample R² was 0.737 (0.703 to 0.766). Fitted-curve variation is in squared log10(melEDI + 0.1 lx) prediction units; curve and Shapley ratios are unitless. Conditional Shapley values allocate in-sample R² with the shared local-clock curve as the mandatory baseline. Intervals are 95% percentile hierarchical cluster-bootstrap intervals from 2,000 replicates. Dispersion and Shapley credit are different estimands and must not be added or interpreted causally.</w:t>
      </w:r>
    </w:p>
    <w:p>
      <w:pPr>
        <w:keepNext w:val="0"/>
        <w:keepLines/>
        <w:spacing w:before="160" w:after="0" w:line="240" w:lineRule="auto"/>
        <w:ind w:firstLine="0"/>
        <w:jc w:val="left"/>
      </w:pPr>
      <w:r>
        <w:rPr>
          <w:rFonts w:ascii="Arial" w:hAnsi="Arial"/>
          <w:b/>
          <w:i w:val="0"/>
          <w:color w:val="333333"/>
          <w:sz w:val="20"/>
        </w:rPr>
        <w:t>Supplementary Table S6.</w:t>
      </w:r>
      <w:r>
        <w:rPr>
          <w:rFonts w:ascii="Arial" w:hAnsi="Arial"/>
          <w:b w:val="0"/>
          <w:i w:val="0"/>
          <w:color w:val="333333"/>
          <w:sz w:val="20"/>
        </w:rPr>
        <w:t xml:space="preserve"> Complementary chest fitted-curve dispersion and Shapley allocation of full-model in-sample R². The quantities, bootstrap intervals and interpretation follow Supplementary Table S5; chest and near-eye measurements remain distinct sensor-position estimands.</w:t>
      </w:r>
    </w:p>
    <w:sectPr w:rsidR="00597312" w:rsidRPr="00791F7F" w:rsidSect="0000781E">
      <w:footerReference w:type="even" r:id="rId8"/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240" w:lineRule="auto"/>
    </w:pPr>
    <w:rPr>
      <w:rFonts w:ascii="Arial" w:hAnsi="Arial"/>
      <w:sz w:val="20"/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