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0" w:after="160" w:line="240" w:lineRule="auto"/>
        <w:ind w:firstLine="0"/>
        <w:jc w:val="left"/>
      </w:pPr>
      <w:r>
        <w:rPr>
          <w:rFonts w:ascii="Arial" w:hAnsi="Arial"/>
          <w:b/>
          <w:i w:val="0"/>
          <w:color w:val="000000"/>
          <w:sz w:val="28"/>
        </w:rPr>
        <w:t>Table S10. Person-level evidence synthesis</w:t>
      </w:r>
    </w:p>
    <w:tbl>
      <w:tblPr>
        <w:tblW w:type="dxa" w:w="15250"/>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1594"/>
        <w:gridCol w:w="1941"/>
        <w:gridCol w:w="3050"/>
        <w:gridCol w:w="1802"/>
        <w:gridCol w:w="1664"/>
        <w:gridCol w:w="2010"/>
        <w:gridCol w:w="3189"/>
      </w:tblGrid>
      <w:tr>
        <w:trPr>
          <w:cantSplit/>
          <w:tblHeader/>
        </w:trPr>
        <w:tc>
          <w:tcPr>
            <w:tcW w:type="dxa" w:w="15250"/>
            <w:gridSpan w:val="7"/>
            <w:vAlign w:val="center"/>
            <w:shd w:fill="FFFFFF" w:val="clear"/>
          </w:tcPr>
          <w:p>
            <w:pPr>
              <w:keepNext w:val="0"/>
              <w:keepLines/>
              <w:spacing w:before="0" w:after="0" w:line="240" w:lineRule="auto"/>
              <w:ind w:firstLine="0"/>
              <w:jc w:val="center"/>
            </w:pPr>
            <w:r/>
            <w:r>
              <w:rPr>
                <w:rFonts w:ascii="Arial" w:hAnsi="Arial"/>
                <w:b/>
                <w:i w:val="0"/>
                <w:color w:val="333333"/>
                <w:sz w:val="20"/>
              </w:rPr>
              <w:t>Person-level evidence synthesis</w:t>
            </w:r>
          </w:p>
        </w:tc>
      </w:tr>
      <w:tr>
        <w:trPr>
          <w:cantSplit/>
          <w:tblHeader/>
        </w:trPr>
        <w:tc>
          <w:tcPr>
            <w:tcW w:type="dxa" w:w="1594"/>
            <w:vAlign w:val="center"/>
            <w:shd w:fill="FFFFFF" w:val="clear"/>
          </w:tcPr>
          <w:p>
            <w:pPr>
              <w:keepNext w:val="0"/>
              <w:keepLines/>
              <w:spacing w:before="0" w:after="0" w:line="240" w:lineRule="auto"/>
              <w:ind w:firstLine="0"/>
              <w:jc w:val="left"/>
            </w:pPr>
            <w:r/>
          </w:p>
        </w:tc>
        <w:tc>
          <w:tcPr>
            <w:tcW w:type="dxa" w:w="1941"/>
            <w:vAlign w:val="center"/>
            <w:shd w:fill="FFFFFF" w:val="clear"/>
          </w:tcPr>
          <w:p>
            <w:pPr>
              <w:keepNext w:val="0"/>
              <w:keepLines/>
              <w:spacing w:before="0" w:after="0" w:line="240" w:lineRule="auto"/>
              <w:ind w:firstLine="0"/>
              <w:jc w:val="left"/>
            </w:pPr>
            <w:r/>
            <w:r>
              <w:rPr>
                <w:rFonts w:ascii="Arial" w:hAnsi="Arial"/>
                <w:b/>
                <w:i w:val="0"/>
                <w:color w:val="333333"/>
                <w:sz w:val="20"/>
              </w:rPr>
              <w:t>Outcome or analysis scale</w:t>
            </w:r>
          </w:p>
        </w:tc>
        <w:tc>
          <w:tcPr>
            <w:tcW w:type="dxa" w:w="3050"/>
            <w:vAlign w:val="center"/>
            <w:shd w:fill="FFFFFF" w:val="clear"/>
          </w:tcPr>
          <w:p>
            <w:pPr>
              <w:keepNext w:val="0"/>
              <w:keepLines/>
              <w:spacing w:before="0" w:after="0" w:line="240" w:lineRule="auto"/>
              <w:ind w:firstLine="0"/>
              <w:jc w:val="left"/>
            </w:pPr>
            <w:r/>
            <w:r>
              <w:rPr>
                <w:rFonts w:ascii="Arial" w:hAnsi="Arial"/>
                <w:b/>
                <w:i w:val="0"/>
                <w:color w:val="333333"/>
                <w:sz w:val="20"/>
              </w:rPr>
              <w:t>Result</w:t>
            </w:r>
          </w:p>
        </w:tc>
        <w:tc>
          <w:tcPr>
            <w:tcW w:type="dxa" w:w="1802"/>
            <w:vAlign w:val="center"/>
            <w:shd w:fill="FFFFFF" w:val="clear"/>
          </w:tcPr>
          <w:p>
            <w:pPr>
              <w:keepNext w:val="0"/>
              <w:keepLines/>
              <w:spacing w:before="0" w:after="0" w:line="240" w:lineRule="auto"/>
              <w:ind w:firstLine="0"/>
              <w:jc w:val="left"/>
            </w:pPr>
            <w:r/>
            <w:r>
              <w:rPr>
                <w:rFonts w:ascii="Arial" w:hAnsi="Arial"/>
                <w:b/>
                <w:i w:val="0"/>
                <w:color w:val="333333"/>
                <w:sz w:val="20"/>
              </w:rPr>
              <w:t>FDR-correction set</w:t>
            </w:r>
          </w:p>
        </w:tc>
        <w:tc>
          <w:tcPr>
            <w:tcW w:type="dxa" w:w="1664"/>
            <w:vAlign w:val="center"/>
            <w:shd w:fill="FFFFFF" w:val="clear"/>
          </w:tcPr>
          <w:p>
            <w:pPr>
              <w:keepNext w:val="0"/>
              <w:keepLines/>
              <w:spacing w:before="0" w:after="0" w:line="240" w:lineRule="auto"/>
              <w:ind w:firstLine="0"/>
              <w:jc w:val="left"/>
            </w:pPr>
            <w:r/>
            <w:r>
              <w:rPr>
                <w:rFonts w:ascii="Arial" w:hAnsi="Arial"/>
                <w:b/>
                <w:i w:val="0"/>
                <w:color w:val="333333"/>
                <w:sz w:val="20"/>
              </w:rPr>
              <w:t>FDR decision</w:t>
            </w:r>
          </w:p>
        </w:tc>
        <w:tc>
          <w:tcPr>
            <w:tcW w:type="dxa" w:w="2010"/>
            <w:vAlign w:val="center"/>
            <w:shd w:fill="FFFFFF" w:val="clear"/>
          </w:tcPr>
          <w:p>
            <w:pPr>
              <w:keepNext w:val="0"/>
              <w:keepLines/>
              <w:spacing w:before="0" w:after="0" w:line="240" w:lineRule="auto"/>
              <w:ind w:firstLine="0"/>
              <w:jc w:val="left"/>
            </w:pPr>
            <w:r/>
            <w:r>
              <w:rPr>
                <w:rFonts w:ascii="Arial" w:hAnsi="Arial"/>
                <w:b/>
                <w:i w:val="0"/>
                <w:color w:val="333333"/>
                <w:sz w:val="20"/>
              </w:rPr>
              <w:t>Exact sample</w:t>
            </w:r>
          </w:p>
        </w:tc>
        <w:tc>
          <w:tcPr>
            <w:tcW w:type="dxa" w:w="3189"/>
            <w:vAlign w:val="center"/>
            <w:shd w:fill="FFFFFF" w:val="clear"/>
          </w:tcPr>
          <w:p>
            <w:pPr>
              <w:keepNext w:val="0"/>
              <w:keepLines/>
              <w:spacing w:before="0" w:after="0" w:line="240" w:lineRule="auto"/>
              <w:ind w:firstLine="0"/>
              <w:jc w:val="left"/>
            </w:pPr>
            <w:r/>
            <w:r>
              <w:rPr>
                <w:rFonts w:ascii="Arial" w:hAnsi="Arial"/>
                <w:b/>
                <w:i w:val="0"/>
                <w:color w:val="333333"/>
                <w:sz w:val="20"/>
              </w:rPr>
              <w:t>Interpretation and qualification</w:t>
            </w:r>
          </w:p>
        </w:tc>
      </w:tr>
      <w:tr>
        <w:trPr>
          <w:cantSplit/>
        </w:trPr>
        <w:tc>
          <w:tcPr>
            <w:tcW w:type="dxa" w:w="1594"/>
            <w:vAlign w:val="center"/>
            <w:shd w:fill="FFFFFF" w:val="clear"/>
          </w:tcPr>
          <w:p>
            <w:pPr>
              <w:keepNext w:val="0"/>
              <w:keepLines/>
              <w:spacing w:before="0" w:after="0" w:line="240" w:lineRule="auto"/>
              <w:ind w:firstLine="0"/>
              <w:jc w:val="left"/>
            </w:pPr>
            <w:r/>
            <w:r>
              <w:rPr>
                <w:rFonts w:ascii="Arial" w:hAnsi="Arial"/>
                <w:b/>
                <w:i w:val="0"/>
                <w:color w:val="333333"/>
                <w:sz w:val="20"/>
              </w:rPr>
              <w:t>Light-exposure behaviour and awareness factors</w:t>
            </w:r>
          </w:p>
        </w:tc>
        <w:tc>
          <w:tcPr>
            <w:tcW w:type="dxa" w:w="1941"/>
            <w:vAlign w:val="center"/>
            <w:shd w:fill="F6F6F6" w:val="clear"/>
          </w:tcPr>
          <w:p>
            <w:pPr>
              <w:keepNext w:val="0"/>
              <w:keepLines/>
              <w:spacing w:before="0" w:after="0" w:line="240" w:lineRule="auto"/>
              <w:ind w:firstLine="0"/>
              <w:jc w:val="left"/>
            </w:pPr>
            <w:r/>
            <w:r>
              <w:rPr>
                <w:rFonts w:ascii="Arial" w:hAnsi="Arial"/>
                <w:b w:val="0"/>
                <w:i w:val="0"/>
                <w:color w:val="333333"/>
                <w:sz w:val="20"/>
              </w:rPr>
              <w:t>68 factor-by-metric cells across four participant-level factors</w:t>
            </w:r>
          </w:p>
        </w:tc>
        <w:tc>
          <w:tcPr>
            <w:tcW w:type="dxa" w:w="3050"/>
            <w:vAlign w:val="center"/>
            <w:shd w:fill="F6F6F6" w:val="clear"/>
          </w:tcPr>
          <w:p>
            <w:pPr>
              <w:keepNext w:val="0"/>
              <w:keepLines/>
              <w:spacing w:before="0" w:after="0" w:line="240" w:lineRule="auto"/>
              <w:ind w:firstLine="0"/>
              <w:jc w:val="left"/>
            </w:pPr>
            <w:r/>
            <w:r>
              <w:rPr>
                <w:rFonts w:ascii="Arial" w:hAnsi="Arial"/>
                <w:b w:val="0"/>
                <w:i w:val="0"/>
                <w:color w:val="333333"/>
                <w:sz w:val="20"/>
              </w:rPr>
              <w:t>No cell retained FDR support; four sleep-environment cells were non-estimable</w:t>
            </w:r>
          </w:p>
        </w:tc>
        <w:tc>
          <w:tcPr>
            <w:tcW w:type="dxa" w:w="1802"/>
            <w:vAlign w:val="center"/>
            <w:shd w:fill="F6F6F6" w:val="clear"/>
          </w:tcPr>
          <w:p>
            <w:pPr>
              <w:keepNext w:val="0"/>
              <w:keepLines/>
              <w:spacing w:before="0" w:after="0" w:line="240" w:lineRule="auto"/>
              <w:ind w:firstLine="0"/>
              <w:jc w:val="left"/>
            </w:pPr>
            <w:r/>
            <w:r>
              <w:rPr>
                <w:rFonts w:ascii="Arial" w:hAnsi="Arial"/>
                <w:b w:val="0"/>
                <w:i w:val="0"/>
                <w:color w:val="333333"/>
                <w:sz w:val="20"/>
              </w:rPr>
              <w:t>68 near-eye factor-by-metric tests</w:t>
            </w:r>
          </w:p>
        </w:tc>
        <w:tc>
          <w:tcPr>
            <w:tcW w:type="dxa" w:w="1664"/>
            <w:vAlign w:val="center"/>
            <w:shd w:fill="F6F6F6" w:val="clear"/>
          </w:tcPr>
          <w:p>
            <w:pPr>
              <w:keepNext w:val="0"/>
              <w:keepLines/>
              <w:spacing w:before="0" w:after="0" w:line="240" w:lineRule="auto"/>
              <w:ind w:firstLine="0"/>
              <w:jc w:val="left"/>
            </w:pPr>
            <w:r/>
            <w:r>
              <w:rPr>
                <w:rFonts w:ascii="Arial" w:hAnsi="Arial"/>
                <w:b w:val="0"/>
                <w:i w:val="0"/>
                <w:color w:val="333333"/>
                <w:sz w:val="20"/>
              </w:rPr>
              <w:t>None retained</w:t>
            </w:r>
          </w:p>
        </w:tc>
        <w:tc>
          <w:tcPr>
            <w:tcW w:type="dxa" w:w="2010"/>
            <w:vAlign w:val="center"/>
            <w:shd w:fill="F6F6F6" w:val="clear"/>
          </w:tcPr>
          <w:p>
            <w:pPr>
              <w:keepNext w:val="0"/>
              <w:keepLines/>
              <w:spacing w:before="0" w:after="0" w:line="240" w:lineRule="auto"/>
              <w:ind w:firstLine="0"/>
              <w:jc w:val="left"/>
            </w:pPr>
            <w:r/>
            <w:r>
              <w:rPr>
                <w:rFonts w:ascii="Arial" w:hAnsi="Arial"/>
                <w:b w:val="0"/>
                <w:i w:val="0"/>
                <w:color w:val="333333"/>
                <w:sz w:val="20"/>
              </w:rPr>
              <w:t>Metric-specific near-eye samples in Supplementary Table S11</w:t>
            </w:r>
          </w:p>
        </w:tc>
        <w:tc>
          <w:tcPr>
            <w:tcW w:type="dxa" w:w="3189"/>
            <w:vAlign w:val="center"/>
            <w:shd w:fill="F6F6F6" w:val="clear"/>
          </w:tcPr>
          <w:p>
            <w:pPr>
              <w:keepNext w:val="0"/>
              <w:keepLines/>
              <w:spacing w:before="0" w:after="0" w:line="240" w:lineRule="auto"/>
              <w:ind w:firstLine="0"/>
              <w:jc w:val="left"/>
            </w:pPr>
            <w:r/>
            <w:r>
              <w:rPr>
                <w:rFonts w:ascii="Arial" w:hAnsi="Arial"/>
                <w:b w:val="0"/>
                <w:i w:val="0"/>
                <w:color w:val="333333"/>
                <w:sz w:val="20"/>
              </w:rPr>
              <w:t>Broad inconclusive result; non-retention is not evidence of no association</w:t>
            </w:r>
          </w:p>
        </w:tc>
      </w:tr>
      <w:tr>
        <w:trPr>
          <w:cantSplit/>
        </w:trPr>
        <w:tc>
          <w:tcPr>
            <w:tcW w:type="dxa" w:w="1594"/>
            <w:vAlign w:val="center"/>
            <w:shd w:fill="FFFFFF" w:val="clear"/>
          </w:tcPr>
          <w:p>
            <w:pPr>
              <w:keepNext w:val="0"/>
              <w:keepLines/>
              <w:spacing w:before="0" w:after="0" w:line="240" w:lineRule="auto"/>
              <w:ind w:firstLine="0"/>
              <w:jc w:val="left"/>
            </w:pPr>
            <w:r/>
            <w:r>
              <w:rPr>
                <w:rFonts w:ascii="Arial" w:hAnsi="Arial"/>
                <w:b/>
                <w:i w:val="0"/>
                <w:color w:val="333333"/>
                <w:sz w:val="20"/>
              </w:rPr>
              <w:t>Visual light sensitivity</w:t>
            </w:r>
          </w:p>
        </w:tc>
        <w:tc>
          <w:tcPr>
            <w:tcW w:type="dxa" w:w="1941"/>
            <w:vAlign w:val="center"/>
            <w:shd w:fill="FFFFFF" w:val="clear"/>
          </w:tcPr>
          <w:p>
            <w:pPr>
              <w:keepNext w:val="0"/>
              <w:keepLines/>
              <w:spacing w:before="0" w:after="0" w:line="240" w:lineRule="auto"/>
              <w:ind w:firstLine="0"/>
              <w:jc w:val="left"/>
            </w:pPr>
            <w:r/>
            <w:r>
              <w:rPr>
                <w:rFonts w:ascii="Arial" w:hAnsi="Arial"/>
                <w:b w:val="0"/>
                <w:i w:val="0"/>
                <w:color w:val="333333"/>
                <w:sz w:val="20"/>
              </w:rPr>
              <w:t>Nine near-eye metrics per one VLSQ-8 SD</w:t>
            </w:r>
          </w:p>
        </w:tc>
        <w:tc>
          <w:tcPr>
            <w:tcW w:type="dxa" w:w="3050"/>
            <w:vAlign w:val="center"/>
            <w:shd w:fill="FFFFFF" w:val="clear"/>
          </w:tcPr>
          <w:p>
            <w:pPr>
              <w:keepNext w:val="0"/>
              <w:keepLines/>
              <w:spacing w:before="0" w:after="0" w:line="240" w:lineRule="auto"/>
              <w:ind w:firstLine="0"/>
              <w:jc w:val="left"/>
            </w:pPr>
            <w:r/>
            <w:r>
              <w:rPr>
                <w:rFonts w:ascii="Arial" w:hAnsi="Arial"/>
                <w:b w:val="0"/>
                <w:i w:val="0"/>
                <w:color w:val="333333"/>
                <w:sz w:val="20"/>
              </w:rPr>
              <w:t>Largest displayed ratio shift was melanopic EDI dose, ×0.846 (0.716 to 0.999)</w:t>
            </w:r>
          </w:p>
        </w:tc>
        <w:tc>
          <w:tcPr>
            <w:tcW w:type="dxa" w:w="1802"/>
            <w:vAlign w:val="center"/>
            <w:shd w:fill="FFFFFF" w:val="clear"/>
          </w:tcPr>
          <w:p>
            <w:pPr>
              <w:keepNext w:val="0"/>
              <w:keepLines/>
              <w:spacing w:before="0" w:after="0" w:line="240" w:lineRule="auto"/>
              <w:ind w:firstLine="0"/>
              <w:jc w:val="left"/>
            </w:pPr>
            <w:r/>
            <w:r>
              <w:rPr>
                <w:rFonts w:ascii="Arial" w:hAnsi="Arial"/>
                <w:b w:val="0"/>
                <w:i w:val="0"/>
                <w:color w:val="333333"/>
                <w:sz w:val="20"/>
              </w:rPr>
              <w:t>Nine near-eye metric tests</w:t>
            </w:r>
          </w:p>
        </w:tc>
        <w:tc>
          <w:tcPr>
            <w:tcW w:type="dxa" w:w="1664"/>
            <w:vAlign w:val="center"/>
            <w:shd w:fill="FFFFFF" w:val="clear"/>
          </w:tcPr>
          <w:p>
            <w:pPr>
              <w:keepNext w:val="0"/>
              <w:keepLines/>
              <w:spacing w:before="0" w:after="0" w:line="240" w:lineRule="auto"/>
              <w:ind w:firstLine="0"/>
              <w:jc w:val="left"/>
            </w:pPr>
            <w:r/>
            <w:r>
              <w:rPr>
                <w:rFonts w:ascii="Arial" w:hAnsi="Arial"/>
                <w:b w:val="0"/>
                <w:i w:val="0"/>
                <w:color w:val="333333"/>
                <w:sz w:val="20"/>
              </w:rPr>
              <w:t>None retained; adjusted p = 0.160 for this row</w:t>
            </w:r>
          </w:p>
        </w:tc>
        <w:tc>
          <w:tcPr>
            <w:tcW w:type="dxa" w:w="2010"/>
            <w:vAlign w:val="center"/>
            <w:shd w:fill="FFFFFF" w:val="clear"/>
          </w:tcPr>
          <w:p>
            <w:pPr>
              <w:keepNext w:val="0"/>
              <w:keepLines/>
              <w:spacing w:before="0" w:after="0" w:line="240" w:lineRule="auto"/>
              <w:ind w:firstLine="0"/>
              <w:jc w:val="left"/>
            </w:pPr>
            <w:r/>
            <w:r>
              <w:rPr>
                <w:rFonts w:ascii="Arial" w:hAnsi="Arial"/>
                <w:b w:val="0"/>
                <w:i w:val="0"/>
                <w:color w:val="333333"/>
                <w:sz w:val="20"/>
              </w:rPr>
              <w:t>141 participants, 761 participant-days, nine sites for the displayed row</w:t>
            </w:r>
          </w:p>
        </w:tc>
        <w:tc>
          <w:tcPr>
            <w:tcW w:type="dxa" w:w="3189"/>
            <w:vAlign w:val="center"/>
            <w:shd w:fill="FFFFFF" w:val="clear"/>
          </w:tcPr>
          <w:p>
            <w:pPr>
              <w:keepNext w:val="0"/>
              <w:keepLines/>
              <w:spacing w:before="0" w:after="0" w:line="240" w:lineRule="auto"/>
              <w:ind w:firstLine="0"/>
              <w:jc w:val="left"/>
            </w:pPr>
            <w:r/>
            <w:r>
              <w:rPr>
                <w:rFonts w:ascii="Arial" w:hAnsi="Arial"/>
                <w:b w:val="0"/>
                <w:i w:val="0"/>
                <w:color w:val="333333"/>
                <w:sz w:val="20"/>
              </w:rPr>
              <w:t>Broad inconclusive result</w:t>
            </w:r>
          </w:p>
        </w:tc>
      </w:tr>
      <w:tr>
        <w:trPr>
          <w:cantSplit/>
        </w:trPr>
        <w:tc>
          <w:tcPr>
            <w:tcW w:type="dxa" w:w="1594"/>
            <w:vAlign w:val="center"/>
            <w:shd w:fill="FFFFFF" w:val="clear"/>
          </w:tcPr>
          <w:p>
            <w:pPr>
              <w:keepNext w:val="0"/>
              <w:keepLines/>
              <w:spacing w:before="0" w:after="0" w:line="240" w:lineRule="auto"/>
              <w:ind w:firstLine="0"/>
              <w:jc w:val="left"/>
            </w:pPr>
            <w:r/>
            <w:r>
              <w:rPr>
                <w:rFonts w:ascii="Arial" w:hAnsi="Arial"/>
                <w:b/>
                <w:i w:val="0"/>
                <w:color w:val="333333"/>
                <w:sz w:val="20"/>
              </w:rPr>
              <w:t>Corrected midsleep on Free days</w:t>
            </w:r>
          </w:p>
        </w:tc>
        <w:tc>
          <w:tcPr>
            <w:tcW w:type="dxa" w:w="1941"/>
            <w:vAlign w:val="center"/>
            <w:shd w:fill="F6F6F6" w:val="clear"/>
          </w:tcPr>
          <w:p>
            <w:pPr>
              <w:keepNext w:val="0"/>
              <w:keepLines/>
              <w:spacing w:before="0" w:after="0" w:line="240" w:lineRule="auto"/>
              <w:ind w:firstLine="0"/>
              <w:jc w:val="left"/>
            </w:pPr>
            <w:r/>
            <w:r>
              <w:rPr>
                <w:rFonts w:ascii="Arial" w:hAnsi="Arial"/>
                <w:b w:val="0"/>
                <w:i w:val="0"/>
                <w:color w:val="333333"/>
                <w:sz w:val="20"/>
              </w:rPr>
              <w:t>Timing outcomes per one-hour later MSFsc</w:t>
            </w:r>
          </w:p>
        </w:tc>
        <w:tc>
          <w:tcPr>
            <w:tcW w:type="dxa" w:w="3050"/>
            <w:vAlign w:val="center"/>
            <w:shd w:fill="F6F6F6" w:val="clear"/>
          </w:tcPr>
          <w:p>
            <w:pPr>
              <w:keepNext w:val="0"/>
              <w:keepLines/>
              <w:spacing w:before="0" w:after="0" w:line="240" w:lineRule="auto"/>
              <w:ind w:firstLine="0"/>
              <w:jc w:val="left"/>
            </w:pPr>
            <w:r/>
            <w:r>
              <w:rPr>
                <w:rFonts w:ascii="Arial" w:hAnsi="Arial"/>
                <w:b w:val="0"/>
                <w:i w:val="0"/>
                <w:color w:val="333333"/>
                <w:sz w:val="20"/>
              </w:rPr>
              <w:t>M10 midpoint +0.205 h (0.045 to 0.366); L10 midpoint +0.276 h (0.118 to 0.435); first light above 250 lx +0.381 h (0.146 to 0.616)</w:t>
            </w:r>
          </w:p>
        </w:tc>
        <w:tc>
          <w:tcPr>
            <w:tcW w:type="dxa" w:w="1802"/>
            <w:vAlign w:val="center"/>
            <w:shd w:fill="F6F6F6" w:val="clear"/>
          </w:tcPr>
          <w:p>
            <w:pPr>
              <w:keepNext w:val="0"/>
              <w:keepLines/>
              <w:spacing w:before="0" w:after="0" w:line="240" w:lineRule="auto"/>
              <w:ind w:firstLine="0"/>
              <w:jc w:val="left"/>
            </w:pPr>
            <w:r/>
            <w:r>
              <w:rPr>
                <w:rFonts w:ascii="Arial" w:hAnsi="Arial"/>
                <w:b w:val="0"/>
                <w:i w:val="0"/>
                <w:color w:val="333333"/>
                <w:sz w:val="20"/>
              </w:rPr>
              <w:t>Five MCTQ timing outcomes, separate from MEQ</w:t>
            </w:r>
          </w:p>
        </w:tc>
        <w:tc>
          <w:tcPr>
            <w:tcW w:type="dxa" w:w="1664"/>
            <w:vAlign w:val="center"/>
            <w:shd w:fill="F6F6F6" w:val="clear"/>
          </w:tcPr>
          <w:p>
            <w:pPr>
              <w:keepNext w:val="0"/>
              <w:keepLines/>
              <w:spacing w:before="0" w:after="0" w:line="240" w:lineRule="auto"/>
              <w:ind w:firstLine="0"/>
              <w:jc w:val="left"/>
            </w:pPr>
            <w:r/>
            <w:r>
              <w:rPr>
                <w:rFonts w:ascii="Arial" w:hAnsi="Arial"/>
                <w:b w:val="0"/>
                <w:i w:val="0"/>
                <w:color w:val="333333"/>
                <w:sz w:val="20"/>
              </w:rPr>
              <w:t>These three rows retained</w:t>
            </w:r>
          </w:p>
        </w:tc>
        <w:tc>
          <w:tcPr>
            <w:tcW w:type="dxa" w:w="2010"/>
            <w:vAlign w:val="center"/>
            <w:shd w:fill="F6F6F6" w:val="clear"/>
          </w:tcPr>
          <w:p>
            <w:pPr>
              <w:keepNext w:val="0"/>
              <w:keepLines/>
              <w:spacing w:before="0" w:after="0" w:line="240" w:lineRule="auto"/>
              <w:ind w:firstLine="0"/>
              <w:jc w:val="left"/>
            </w:pPr>
            <w:r/>
            <w:r>
              <w:rPr>
                <w:rFonts w:ascii="Arial" w:hAnsi="Arial"/>
                <w:b w:val="0"/>
                <w:i w:val="0"/>
                <w:color w:val="333333"/>
                <w:sz w:val="20"/>
              </w:rPr>
              <w:t>139 to 140 participants; 722 to 810 participant-days; nine sites</w:t>
            </w:r>
          </w:p>
        </w:tc>
        <w:tc>
          <w:tcPr>
            <w:tcW w:type="dxa" w:w="3189"/>
            <w:vAlign w:val="center"/>
            <w:shd w:fill="F6F6F6" w:val="clear"/>
          </w:tcPr>
          <w:p>
            <w:pPr>
              <w:keepNext w:val="0"/>
              <w:keepLines/>
              <w:spacing w:before="0" w:after="0" w:line="240" w:lineRule="auto"/>
              <w:ind w:firstLine="0"/>
              <w:jc w:val="left"/>
            </w:pPr>
            <w:r/>
            <w:r>
              <w:rPr>
                <w:rFonts w:ascii="Arial" w:hAnsi="Arial"/>
                <w:b w:val="0"/>
                <w:i w:val="0"/>
                <w:color w:val="333333"/>
                <w:sz w:val="20"/>
              </w:rPr>
              <w:t>Selective timing associations</w:t>
            </w:r>
          </w:p>
        </w:tc>
      </w:tr>
      <w:tr>
        <w:trPr>
          <w:cantSplit/>
        </w:trPr>
        <w:tc>
          <w:tcPr>
            <w:tcW w:type="dxa" w:w="1594"/>
            <w:vAlign w:val="center"/>
            <w:shd w:fill="FFFFFF" w:val="clear"/>
          </w:tcPr>
          <w:p>
            <w:pPr>
              <w:keepNext w:val="0"/>
              <w:keepLines/>
              <w:spacing w:before="0" w:after="0" w:line="240" w:lineRule="auto"/>
              <w:ind w:firstLine="0"/>
              <w:jc w:val="left"/>
            </w:pPr>
            <w:r/>
            <w:r>
              <w:rPr>
                <w:rFonts w:ascii="Arial" w:hAnsi="Arial"/>
                <w:b/>
                <w:i w:val="0"/>
                <w:color w:val="333333"/>
                <w:sz w:val="20"/>
              </w:rPr>
              <w:t>Morningness-Eveningness Questionnaire</w:t>
            </w:r>
          </w:p>
        </w:tc>
        <w:tc>
          <w:tcPr>
            <w:tcW w:type="dxa" w:w="1941"/>
            <w:vAlign w:val="center"/>
            <w:shd w:fill="FFFFFF" w:val="clear"/>
          </w:tcPr>
          <w:p>
            <w:pPr>
              <w:keepNext w:val="0"/>
              <w:keepLines/>
              <w:spacing w:before="0" w:after="0" w:line="240" w:lineRule="auto"/>
              <w:ind w:firstLine="0"/>
              <w:jc w:val="left"/>
            </w:pPr>
            <w:r/>
            <w:r>
              <w:rPr>
                <w:rFonts w:ascii="Arial" w:hAnsi="Arial"/>
                <w:b w:val="0"/>
                <w:i w:val="0"/>
                <w:color w:val="333333"/>
                <w:sz w:val="20"/>
              </w:rPr>
              <w:t>Timing outcomes per 10 points greater morning preference</w:t>
            </w:r>
          </w:p>
        </w:tc>
        <w:tc>
          <w:tcPr>
            <w:tcW w:type="dxa" w:w="3050"/>
            <w:vAlign w:val="center"/>
            <w:shd w:fill="FFFFFF" w:val="clear"/>
          </w:tcPr>
          <w:p>
            <w:pPr>
              <w:keepNext w:val="0"/>
              <w:keepLines/>
              <w:spacing w:before="0" w:after="0" w:line="240" w:lineRule="auto"/>
              <w:ind w:firstLine="0"/>
              <w:jc w:val="left"/>
            </w:pPr>
            <w:r/>
            <w:r>
              <w:rPr>
                <w:rFonts w:ascii="Arial" w:hAnsi="Arial"/>
                <w:b w:val="0"/>
                <w:i w:val="0"/>
                <w:color w:val="333333"/>
                <w:sz w:val="20"/>
              </w:rPr>
              <w:t>M10 midpoint -0.278 h (-0.451 to -0.105); L10 midpoint -0.314 h (-0.487 to -0.142); first light above 250 lx -0.444 h (-0.699 to -0.189)</w:t>
            </w:r>
          </w:p>
        </w:tc>
        <w:tc>
          <w:tcPr>
            <w:tcW w:type="dxa" w:w="1802"/>
            <w:vAlign w:val="center"/>
            <w:shd w:fill="FFFFFF" w:val="clear"/>
          </w:tcPr>
          <w:p>
            <w:pPr>
              <w:keepNext w:val="0"/>
              <w:keepLines/>
              <w:spacing w:before="0" w:after="0" w:line="240" w:lineRule="auto"/>
              <w:ind w:firstLine="0"/>
              <w:jc w:val="left"/>
            </w:pPr>
            <w:r/>
            <w:r>
              <w:rPr>
                <w:rFonts w:ascii="Arial" w:hAnsi="Arial"/>
                <w:b w:val="0"/>
                <w:i w:val="0"/>
                <w:color w:val="333333"/>
                <w:sz w:val="20"/>
              </w:rPr>
              <w:t>Five MEQ timing outcomes, separate from MCTQ</w:t>
            </w:r>
          </w:p>
        </w:tc>
        <w:tc>
          <w:tcPr>
            <w:tcW w:type="dxa" w:w="1664"/>
            <w:vAlign w:val="center"/>
            <w:shd w:fill="FFFFFF" w:val="clear"/>
          </w:tcPr>
          <w:p>
            <w:pPr>
              <w:keepNext w:val="0"/>
              <w:keepLines/>
              <w:spacing w:before="0" w:after="0" w:line="240" w:lineRule="auto"/>
              <w:ind w:firstLine="0"/>
              <w:jc w:val="left"/>
            </w:pPr>
            <w:r/>
            <w:r>
              <w:rPr>
                <w:rFonts w:ascii="Arial" w:hAnsi="Arial"/>
                <w:b w:val="0"/>
                <w:i w:val="0"/>
                <w:color w:val="333333"/>
                <w:sz w:val="20"/>
              </w:rPr>
              <w:t>These three rows retained</w:t>
            </w:r>
          </w:p>
        </w:tc>
        <w:tc>
          <w:tcPr>
            <w:tcW w:type="dxa" w:w="2010"/>
            <w:vAlign w:val="center"/>
            <w:shd w:fill="FFFFFF" w:val="clear"/>
          </w:tcPr>
          <w:p>
            <w:pPr>
              <w:keepNext w:val="0"/>
              <w:keepLines/>
              <w:spacing w:before="0" w:after="0" w:line="240" w:lineRule="auto"/>
              <w:ind w:firstLine="0"/>
              <w:jc w:val="left"/>
            </w:pPr>
            <w:r/>
            <w:r>
              <w:rPr>
                <w:rFonts w:ascii="Arial" w:hAnsi="Arial"/>
                <w:b w:val="0"/>
                <w:i w:val="0"/>
                <w:color w:val="333333"/>
                <w:sz w:val="20"/>
              </w:rPr>
              <w:t>140 to 141 participants; 727 to 816 participant-days; nine sites</w:t>
            </w:r>
          </w:p>
        </w:tc>
        <w:tc>
          <w:tcPr>
            <w:tcW w:type="dxa" w:w="3189"/>
            <w:vAlign w:val="center"/>
            <w:shd w:fill="FFFFFF" w:val="clear"/>
          </w:tcPr>
          <w:p>
            <w:pPr>
              <w:keepNext w:val="0"/>
              <w:keepLines/>
              <w:spacing w:before="0" w:after="0" w:line="240" w:lineRule="auto"/>
              <w:ind w:firstLine="0"/>
              <w:jc w:val="left"/>
            </w:pPr>
            <w:r/>
            <w:r>
              <w:rPr>
                <w:rFonts w:ascii="Arial" w:hAnsi="Arial"/>
                <w:b w:val="0"/>
                <w:i w:val="0"/>
                <w:color w:val="333333"/>
                <w:sz w:val="20"/>
              </w:rPr>
              <w:t>Selective timing associations</w:t>
            </w:r>
          </w:p>
        </w:tc>
      </w:tr>
      <w:tr>
        <w:trPr>
          <w:cantSplit/>
        </w:trPr>
        <w:tc>
          <w:tcPr>
            <w:tcW w:type="dxa" w:w="1594"/>
            <w:vAlign w:val="center"/>
            <w:shd w:fill="FFFFFF" w:val="clear"/>
          </w:tcPr>
          <w:p>
            <w:pPr>
              <w:keepNext w:val="0"/>
              <w:keepLines/>
              <w:spacing w:before="0" w:after="0" w:line="240" w:lineRule="auto"/>
              <w:ind w:firstLine="0"/>
              <w:jc w:val="left"/>
            </w:pPr>
            <w:r/>
            <w:r>
              <w:rPr>
                <w:rFonts w:ascii="Arial" w:hAnsi="Arial"/>
                <w:b/>
                <w:i w:val="0"/>
                <w:color w:val="333333"/>
                <w:sz w:val="20"/>
              </w:rPr>
              <w:t>Age</w:t>
            </w:r>
          </w:p>
        </w:tc>
        <w:tc>
          <w:tcPr>
            <w:tcW w:type="dxa" w:w="1941"/>
            <w:vAlign w:val="center"/>
            <w:shd w:fill="F6F6F6" w:val="clear"/>
          </w:tcPr>
          <w:p>
            <w:pPr>
              <w:keepNext w:val="0"/>
              <w:keepLines/>
              <w:spacing w:before="0" w:after="0" w:line="240" w:lineRule="auto"/>
              <w:ind w:firstLine="0"/>
              <w:jc w:val="left"/>
            </w:pPr>
            <w:r/>
            <w:r>
              <w:rPr>
                <w:rFonts w:ascii="Arial" w:hAnsi="Arial"/>
                <w:b w:val="0"/>
                <w:i w:val="0"/>
                <w:color w:val="333333"/>
                <w:sz w:val="20"/>
              </w:rPr>
              <w:t>Near-eye daily metrics per 10 years</w:t>
            </w:r>
          </w:p>
        </w:tc>
        <w:tc>
          <w:tcPr>
            <w:tcW w:type="dxa" w:w="3050"/>
            <w:vAlign w:val="center"/>
            <w:shd w:fill="F6F6F6" w:val="clear"/>
          </w:tcPr>
          <w:p>
            <w:pPr>
              <w:keepNext w:val="0"/>
              <w:keepLines/>
              <w:spacing w:before="0" w:after="0" w:line="240" w:lineRule="auto"/>
              <w:ind w:firstLine="0"/>
              <w:jc w:val="left"/>
            </w:pPr>
            <w:r/>
            <w:r>
              <w:rPr>
                <w:rFonts w:ascii="Arial" w:hAnsi="Arial"/>
                <w:b w:val="0"/>
                <w:i w:val="0"/>
                <w:color w:val="333333"/>
                <w:sz w:val="20"/>
              </w:rPr>
              <w:t>Brightest 10 h geometric mean ×1.31 (1.09 to 1.58); time above 1,000 lx ×1.27 (1.11 to 1.45); melanopic EDI dose ×1.31 (1.09 to 1.56)</w:t>
            </w:r>
          </w:p>
        </w:tc>
        <w:tc>
          <w:tcPr>
            <w:tcW w:type="dxa" w:w="1802"/>
            <w:vAlign w:val="center"/>
            <w:shd w:fill="F6F6F6" w:val="clear"/>
          </w:tcPr>
          <w:p>
            <w:pPr>
              <w:keepNext w:val="0"/>
              <w:keepLines/>
              <w:spacing w:before="0" w:after="0" w:line="240" w:lineRule="auto"/>
              <w:ind w:firstLine="0"/>
              <w:jc w:val="left"/>
            </w:pPr>
            <w:r/>
            <w:r>
              <w:rPr>
                <w:rFonts w:ascii="Arial" w:hAnsi="Arial"/>
                <w:b w:val="0"/>
                <w:i w:val="0"/>
                <w:color w:val="333333"/>
                <w:sz w:val="20"/>
              </w:rPr>
              <w:t>Near-eye age-metric tests</w:t>
            </w:r>
          </w:p>
        </w:tc>
        <w:tc>
          <w:tcPr>
            <w:tcW w:type="dxa" w:w="1664"/>
            <w:vAlign w:val="center"/>
            <w:shd w:fill="F6F6F6" w:val="clear"/>
          </w:tcPr>
          <w:p>
            <w:pPr>
              <w:keepNext w:val="0"/>
              <w:keepLines/>
              <w:spacing w:before="0" w:after="0" w:line="240" w:lineRule="auto"/>
              <w:ind w:firstLine="0"/>
              <w:jc w:val="left"/>
            </w:pPr>
            <w:r/>
            <w:r>
              <w:rPr>
                <w:rFonts w:ascii="Arial" w:hAnsi="Arial"/>
                <w:b w:val="0"/>
                <w:i w:val="0"/>
                <w:color w:val="333333"/>
                <w:sz w:val="20"/>
              </w:rPr>
              <w:t>Three rows retained</w:t>
            </w:r>
          </w:p>
        </w:tc>
        <w:tc>
          <w:tcPr>
            <w:tcW w:type="dxa" w:w="2010"/>
            <w:vAlign w:val="center"/>
            <w:shd w:fill="F6F6F6" w:val="clear"/>
          </w:tcPr>
          <w:p>
            <w:pPr>
              <w:keepNext w:val="0"/>
              <w:keepLines/>
              <w:spacing w:before="0" w:after="0" w:line="240" w:lineRule="auto"/>
              <w:ind w:firstLine="0"/>
              <w:jc w:val="left"/>
            </w:pPr>
            <w:r/>
            <w:r>
              <w:rPr>
                <w:rFonts w:ascii="Arial" w:hAnsi="Arial"/>
                <w:b w:val="0"/>
                <w:i w:val="0"/>
                <w:color w:val="333333"/>
                <w:sz w:val="20"/>
              </w:rPr>
              <w:t>141 participants; 761 to 816 participant-days; nine sites</w:t>
            </w:r>
          </w:p>
        </w:tc>
        <w:tc>
          <w:tcPr>
            <w:tcW w:type="dxa" w:w="3189"/>
            <w:vAlign w:val="center"/>
            <w:shd w:fill="F6F6F6" w:val="clear"/>
          </w:tcPr>
          <w:p>
            <w:pPr>
              <w:keepNext w:val="0"/>
              <w:keepLines/>
              <w:spacing w:before="0" w:after="0" w:line="240" w:lineRule="auto"/>
              <w:ind w:firstLine="0"/>
              <w:jc w:val="left"/>
            </w:pPr>
            <w:r/>
            <w:r>
              <w:rPr>
                <w:rFonts w:ascii="Arial" w:hAnsi="Arial"/>
                <w:b w:val="0"/>
                <w:i w:val="0"/>
                <w:color w:val="333333"/>
                <w:sz w:val="20"/>
              </w:rPr>
              <w:t>Selective age associations; complementary chest results remain separate</w:t>
            </w:r>
          </w:p>
        </w:tc>
      </w:tr>
      <w:tr>
        <w:trPr>
          <w:cantSplit/>
        </w:trPr>
        <w:tc>
          <w:tcPr>
            <w:tcW w:type="dxa" w:w="1594"/>
            <w:vAlign w:val="center"/>
            <w:shd w:fill="FFFFFF" w:val="clear"/>
          </w:tcPr>
          <w:p>
            <w:pPr>
              <w:keepNext w:val="0"/>
              <w:keepLines/>
              <w:spacing w:before="0" w:after="0" w:line="240" w:lineRule="auto"/>
              <w:ind w:firstLine="0"/>
              <w:jc w:val="left"/>
            </w:pPr>
            <w:r/>
            <w:r>
              <w:rPr>
                <w:rFonts w:ascii="Arial" w:hAnsi="Arial"/>
                <w:b/>
                <w:i w:val="0"/>
                <w:color w:val="333333"/>
                <w:sz w:val="20"/>
              </w:rPr>
              <w:t>Metric-level biological sex</w:t>
            </w:r>
          </w:p>
        </w:tc>
        <w:tc>
          <w:tcPr>
            <w:tcW w:type="dxa" w:w="1941"/>
            <w:vAlign w:val="center"/>
            <w:shd w:fill="FFFFFF" w:val="clear"/>
          </w:tcPr>
          <w:p>
            <w:pPr>
              <w:keepNext w:val="0"/>
              <w:keepLines/>
              <w:spacing w:before="0" w:after="0" w:line="240" w:lineRule="auto"/>
              <w:ind w:firstLine="0"/>
              <w:jc w:val="left"/>
            </w:pPr>
            <w:r/>
            <w:r>
              <w:rPr>
                <w:rFonts w:ascii="Arial" w:hAnsi="Arial"/>
                <w:b w:val="0"/>
                <w:i w:val="0"/>
                <w:color w:val="333333"/>
                <w:sz w:val="20"/>
              </w:rPr>
              <w:t>Near-eye daily metrics, Female minus Male</w:t>
            </w:r>
          </w:p>
        </w:tc>
        <w:tc>
          <w:tcPr>
            <w:tcW w:type="dxa" w:w="3050"/>
            <w:vAlign w:val="center"/>
            <w:shd w:fill="FFFFFF" w:val="clear"/>
          </w:tcPr>
          <w:p>
            <w:pPr>
              <w:keepNext w:val="0"/>
              <w:keepLines/>
              <w:spacing w:before="0" w:after="0" w:line="240" w:lineRule="auto"/>
              <w:ind w:firstLine="0"/>
              <w:jc w:val="left"/>
            </w:pPr>
            <w:r/>
            <w:r>
              <w:rPr>
                <w:rFonts w:ascii="Arial" w:hAnsi="Arial"/>
                <w:b w:val="0"/>
                <w:i w:val="0"/>
                <w:color w:val="333333"/>
                <w:sz w:val="20"/>
              </w:rPr>
              <w:t>No near-eye metric-level result retained FDR support</w:t>
            </w:r>
          </w:p>
        </w:tc>
        <w:tc>
          <w:tcPr>
            <w:tcW w:type="dxa" w:w="1802"/>
            <w:vAlign w:val="center"/>
            <w:shd w:fill="FFFFFF" w:val="clear"/>
          </w:tcPr>
          <w:p>
            <w:pPr>
              <w:keepNext w:val="0"/>
              <w:keepLines/>
              <w:spacing w:before="0" w:after="0" w:line="240" w:lineRule="auto"/>
              <w:ind w:firstLine="0"/>
              <w:jc w:val="left"/>
            </w:pPr>
            <w:r/>
            <w:r>
              <w:rPr>
                <w:rFonts w:ascii="Arial" w:hAnsi="Arial"/>
                <w:b w:val="0"/>
                <w:i w:val="0"/>
                <w:color w:val="333333"/>
                <w:sz w:val="20"/>
              </w:rPr>
              <w:t>Near-eye biological-sex metric tests</w:t>
            </w:r>
          </w:p>
        </w:tc>
        <w:tc>
          <w:tcPr>
            <w:tcW w:type="dxa" w:w="1664"/>
            <w:vAlign w:val="center"/>
            <w:shd w:fill="FFFFFF" w:val="clear"/>
          </w:tcPr>
          <w:p>
            <w:pPr>
              <w:keepNext w:val="0"/>
              <w:keepLines/>
              <w:spacing w:before="0" w:after="0" w:line="240" w:lineRule="auto"/>
              <w:ind w:firstLine="0"/>
              <w:jc w:val="left"/>
            </w:pPr>
            <w:r/>
            <w:r>
              <w:rPr>
                <w:rFonts w:ascii="Arial" w:hAnsi="Arial"/>
                <w:b w:val="0"/>
                <w:i w:val="0"/>
                <w:color w:val="333333"/>
                <w:sz w:val="20"/>
              </w:rPr>
              <w:t>None retained</w:t>
            </w:r>
          </w:p>
        </w:tc>
        <w:tc>
          <w:tcPr>
            <w:tcW w:type="dxa" w:w="2010"/>
            <w:vAlign w:val="center"/>
            <w:shd w:fill="FFFFFF" w:val="clear"/>
          </w:tcPr>
          <w:p>
            <w:pPr>
              <w:keepNext w:val="0"/>
              <w:keepLines/>
              <w:spacing w:before="0" w:after="0" w:line="240" w:lineRule="auto"/>
              <w:ind w:firstLine="0"/>
              <w:jc w:val="left"/>
            </w:pPr>
            <w:r/>
            <w:r>
              <w:rPr>
                <w:rFonts w:ascii="Arial" w:hAnsi="Arial"/>
                <w:b w:val="0"/>
                <w:i w:val="0"/>
                <w:color w:val="333333"/>
                <w:sz w:val="20"/>
              </w:rPr>
              <w:t>Metric-specific samples in Supplementary Table S14</w:t>
            </w:r>
          </w:p>
        </w:tc>
        <w:tc>
          <w:tcPr>
            <w:tcW w:type="dxa" w:w="3189"/>
            <w:vAlign w:val="center"/>
            <w:shd w:fill="FFFFFF" w:val="clear"/>
          </w:tcPr>
          <w:p>
            <w:pPr>
              <w:keepNext w:val="0"/>
              <w:keepLines/>
              <w:spacing w:before="0" w:after="0" w:line="240" w:lineRule="auto"/>
              <w:ind w:firstLine="0"/>
              <w:jc w:val="left"/>
            </w:pPr>
            <w:r/>
            <w:r>
              <w:rPr>
                <w:rFonts w:ascii="Arial" w:hAnsi="Arial"/>
                <w:b w:val="0"/>
                <w:i w:val="0"/>
                <w:color w:val="333333"/>
                <w:sz w:val="20"/>
              </w:rPr>
              <w:t>Biological sex and gender were recorded separately; gender was not analysed</w:t>
            </w:r>
          </w:p>
        </w:tc>
      </w:tr>
      <w:tr>
        <w:trPr>
          <w:cantSplit/>
        </w:trPr>
        <w:tc>
          <w:tcPr>
            <w:tcW w:type="dxa" w:w="1594"/>
            <w:vAlign w:val="center"/>
            <w:shd w:fill="FFFFFF" w:val="clear"/>
          </w:tcPr>
          <w:p>
            <w:pPr>
              <w:keepNext/>
              <w:keepLines/>
              <w:spacing w:before="0" w:after="0" w:line="240" w:lineRule="auto"/>
              <w:ind w:firstLine="0"/>
              <w:jc w:val="left"/>
            </w:pPr>
            <w:r/>
            <w:r>
              <w:rPr>
                <w:rFonts w:ascii="Arial" w:hAnsi="Arial"/>
                <w:b/>
                <w:i w:val="0"/>
                <w:color w:val="333333"/>
                <w:sz w:val="20"/>
              </w:rPr>
              <w:t>Biological-sex-specific daily curve</w:t>
            </w:r>
          </w:p>
        </w:tc>
        <w:tc>
          <w:tcPr>
            <w:tcW w:type="dxa" w:w="1941"/>
            <w:vAlign w:val="center"/>
            <w:shd w:fill="F6F6F6" w:val="clear"/>
          </w:tcPr>
          <w:p>
            <w:pPr>
              <w:keepNext/>
              <w:keepLines/>
              <w:spacing w:before="0" w:after="0" w:line="240" w:lineRule="auto"/>
              <w:ind w:firstLine="0"/>
              <w:jc w:val="left"/>
            </w:pPr>
            <w:r/>
            <w:r>
              <w:rPr>
                <w:rFonts w:ascii="Arial" w:hAnsi="Arial"/>
                <w:b w:val="0"/>
                <w:i w:val="0"/>
                <w:color w:val="333333"/>
                <w:sz w:val="20"/>
              </w:rPr>
              <w:t>Complete 24-hour curve and activity-complete sensitivity</w:t>
            </w:r>
          </w:p>
        </w:tc>
        <w:tc>
          <w:tcPr>
            <w:tcW w:type="dxa" w:w="3050"/>
            <w:vAlign w:val="center"/>
            <w:shd w:fill="F6F6F6" w:val="clear"/>
          </w:tcPr>
          <w:p>
            <w:pPr>
              <w:keepNext/>
              <w:keepLines/>
              <w:spacing w:before="0" w:after="0" w:line="240" w:lineRule="auto"/>
              <w:ind w:firstLine="0"/>
              <w:jc w:val="left"/>
            </w:pPr>
            <w:r/>
            <w:r>
              <w:rPr>
                <w:rFonts w:ascii="Arial" w:hAnsi="Arial"/>
                <w:b w:val="0"/>
                <w:i w:val="0"/>
                <w:color w:val="333333"/>
                <w:sz w:val="20"/>
              </w:rPr>
              <w:t>The all-available near-eye complete-curve test was supported, but separation attenuated and was not retained in the activity-complete near-eye analysis</w:t>
            </w:r>
          </w:p>
        </w:tc>
        <w:tc>
          <w:tcPr>
            <w:tcW w:type="dxa" w:w="1802"/>
            <w:vAlign w:val="center"/>
            <w:shd w:fill="F6F6F6" w:val="clear"/>
          </w:tcPr>
          <w:p>
            <w:pPr>
              <w:keepNext/>
              <w:keepLines/>
              <w:spacing w:before="0" w:after="0" w:line="240" w:lineRule="auto"/>
              <w:ind w:firstLine="0"/>
              <w:jc w:val="left"/>
            </w:pPr>
            <w:r/>
            <w:r>
              <w:rPr>
                <w:rFonts w:ascii="Arial" w:hAnsi="Arial"/>
                <w:b w:val="0"/>
                <w:i w:val="0"/>
                <w:color w:val="333333"/>
                <w:sz w:val="20"/>
              </w:rPr>
              <w:t>Global complete-curve tests and separately prespecified sensitivity decisions</w:t>
            </w:r>
          </w:p>
        </w:tc>
        <w:tc>
          <w:tcPr>
            <w:tcW w:type="dxa" w:w="1664"/>
            <w:vAlign w:val="center"/>
            <w:shd w:fill="F6F6F6" w:val="clear"/>
          </w:tcPr>
          <w:p>
            <w:pPr>
              <w:keepNext/>
              <w:keepLines/>
              <w:spacing w:before="0" w:after="0" w:line="240" w:lineRule="auto"/>
              <w:ind w:firstLine="0"/>
              <w:jc w:val="left"/>
            </w:pPr>
            <w:r/>
            <w:r>
              <w:rPr>
                <w:rFonts w:ascii="Arial" w:hAnsi="Arial"/>
                <w:b w:val="0"/>
                <w:i w:val="0"/>
                <w:color w:val="333333"/>
                <w:sz w:val="20"/>
              </w:rPr>
              <w:t>Analysis-specific global decisions</w:t>
            </w:r>
          </w:p>
        </w:tc>
        <w:tc>
          <w:tcPr>
            <w:tcW w:type="dxa" w:w="2010"/>
            <w:vAlign w:val="center"/>
            <w:shd w:fill="F6F6F6" w:val="clear"/>
          </w:tcPr>
          <w:p>
            <w:pPr>
              <w:keepNext/>
              <w:keepLines/>
              <w:spacing w:before="0" w:after="0" w:line="240" w:lineRule="auto"/>
              <w:ind w:firstLine="0"/>
              <w:jc w:val="left"/>
            </w:pPr>
            <w:r/>
            <w:r>
              <w:rPr>
                <w:rFonts w:ascii="Arial" w:hAnsi="Arial"/>
                <w:b w:val="0"/>
                <w:i w:val="0"/>
                <w:color w:val="333333"/>
                <w:sz w:val="20"/>
              </w:rPr>
              <w:t>All-available near eye: 141 participants, 816 participant-days, 37,756 observations, nine sites</w:t>
            </w:r>
          </w:p>
        </w:tc>
        <w:tc>
          <w:tcPr>
            <w:tcW w:type="dxa" w:w="3189"/>
            <w:vAlign w:val="center"/>
            <w:shd w:fill="F6F6F6" w:val="clear"/>
          </w:tcPr>
          <w:p>
            <w:pPr>
              <w:keepNext/>
              <w:keepLines/>
              <w:spacing w:before="0" w:after="0" w:line="240" w:lineRule="auto"/>
              <w:ind w:firstLine="0"/>
              <w:jc w:val="left"/>
            </w:pPr>
            <w:r/>
            <w:r>
              <w:rPr>
                <w:rFonts w:ascii="Arial" w:hAnsi="Arial"/>
                <w:b w:val="0"/>
                <w:i w:val="0"/>
                <w:color w:val="333333"/>
                <w:sz w:val="20"/>
              </w:rPr>
              <w:t>Attenuation-first interpretation; confidence intervals apply at the displayed clock times</w:t>
            </w:r>
          </w:p>
        </w:tc>
      </w:tr>
    </w:tbl>
    <w:p>
      <w:pPr>
        <w:keepNext/>
        <w:keepLines/>
        <w:spacing w:before="80" w:after="0" w:line="240" w:lineRule="auto"/>
        <w:ind w:firstLine="0"/>
        <w:jc w:val="left"/>
      </w:pPr>
      <w:r>
        <w:rPr>
          <w:rFonts w:ascii="Arial" w:hAnsi="Arial"/>
          <w:b w:val="0"/>
          <w:i w:val="0"/>
          <w:color w:val="444444"/>
          <w:sz w:val="18"/>
        </w:rPr>
        <w:t>Results that did not meet the applicable FDR criterion are inconclusive rather than evidence of no association. The two chronotype instruments were analysed separately. Biological sex and gender were recorded separately; gender was not analysed.</w:t>
      </w:r>
    </w:p>
    <w:p>
      <w:pPr>
        <w:keepNext w:val="0"/>
        <w:keepLines/>
        <w:spacing w:before="160" w:after="0" w:line="240" w:lineRule="auto"/>
        <w:ind w:firstLine="0"/>
        <w:jc w:val="left"/>
      </w:pPr>
      <w:r>
        <w:rPr>
          <w:rFonts w:ascii="Arial" w:hAnsi="Arial"/>
          <w:b/>
          <w:i w:val="0"/>
          <w:color w:val="333333"/>
          <w:sz w:val="20"/>
        </w:rPr>
        <w:t>Supplementary Table S10.</w:t>
      </w:r>
      <w:r>
        <w:rPr>
          <w:rFonts w:ascii="Arial" w:hAnsi="Arial"/>
          <w:b w:val="0"/>
          <w:i w:val="0"/>
          <w:color w:val="333333"/>
          <w:sz w:val="20"/>
        </w:rPr>
        <w:t xml:space="preserve"> 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sectPr w:rsidR="00597312" w:rsidRPr="00791F7F" w:rsidSect="0000781E">
      <w:footerReference w:type="even" r:id="rId8"/>
      <w:footerReference w:type="default" r:id="rId9"/>
      <w:pgSz w:w="16834" w:h="11909" w:orient="landscape"/>
      <w:pgMar w:top="792" w:right="792" w:bottom="792" w:left="79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4F332" w14:textId="77777777" w:rsidR="007B5F42" w:rsidRDefault="007B5F42" w:rsidP="00EF17F7">
      <w:r>
        <w:separator/>
      </w:r>
    </w:p>
  </w:endnote>
  <w:endnote w:type="continuationSeparator" w:id="0">
    <w:p w14:paraId="1DDC8D58" w14:textId="77777777" w:rsidR="007B5F42" w:rsidRDefault="007B5F42" w:rsidP="00EF17F7">
      <w:r>
        <w:continuationSeparator/>
      </w:r>
    </w:p>
  </w:endnote>
  <w:endnote w:type="continuationNotice" w:id="1">
    <w:p w14:paraId="48F03FBE" w14:textId="77777777" w:rsidR="007B5F42" w:rsidRDefault="007B5F42"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11DD" w14:textId="77777777" w:rsidR="007B5F42" w:rsidRDefault="007B5F42" w:rsidP="00EF17F7">
      <w:r>
        <w:separator/>
      </w:r>
    </w:p>
  </w:footnote>
  <w:footnote w:type="continuationSeparator" w:id="0">
    <w:p w14:paraId="27E158F6" w14:textId="77777777" w:rsidR="007B5F42" w:rsidRDefault="007B5F42" w:rsidP="00EF17F7">
      <w:r>
        <w:continuationSeparator/>
      </w:r>
    </w:p>
  </w:footnote>
  <w:footnote w:type="continuationNotice" w:id="1">
    <w:p w14:paraId="2EF8A6AF" w14:textId="77777777" w:rsidR="007B5F42" w:rsidRDefault="007B5F42" w:rsidP="00EF17F7"/>
  </w:footnote>
</w:footnote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0"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1"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28"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29"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1"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7"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39"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2"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3"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5"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6"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0"/>
  </w:num>
  <w:num w:numId="2" w16cid:durableId="942372324">
    <w:abstractNumId w:val="52"/>
  </w:num>
  <w:num w:numId="3" w16cid:durableId="262298673">
    <w:abstractNumId w:val="9"/>
  </w:num>
  <w:num w:numId="4" w16cid:durableId="1124426162">
    <w:abstractNumId w:val="28"/>
  </w:num>
  <w:num w:numId="5" w16cid:durableId="54596677">
    <w:abstractNumId w:val="20"/>
  </w:num>
  <w:num w:numId="6" w16cid:durableId="1921254496">
    <w:abstractNumId w:val="54"/>
  </w:num>
  <w:num w:numId="7" w16cid:durableId="853690668">
    <w:abstractNumId w:val="38"/>
  </w:num>
  <w:num w:numId="8" w16cid:durableId="1826047464">
    <w:abstractNumId w:val="27"/>
  </w:num>
  <w:num w:numId="9" w16cid:durableId="827287511">
    <w:abstractNumId w:val="33"/>
  </w:num>
  <w:num w:numId="10" w16cid:durableId="665522998">
    <w:abstractNumId w:val="19"/>
  </w:num>
  <w:num w:numId="11" w16cid:durableId="1246766847">
    <w:abstractNumId w:val="53"/>
  </w:num>
  <w:num w:numId="12" w16cid:durableId="1494183803">
    <w:abstractNumId w:val="16"/>
  </w:num>
  <w:num w:numId="13" w16cid:durableId="1733844440">
    <w:abstractNumId w:val="32"/>
  </w:num>
  <w:num w:numId="14" w16cid:durableId="782725366">
    <w:abstractNumId w:val="51"/>
  </w:num>
  <w:num w:numId="15" w16cid:durableId="1251354143">
    <w:abstractNumId w:val="34"/>
  </w:num>
  <w:num w:numId="16" w16cid:durableId="1199271168">
    <w:abstractNumId w:val="43"/>
  </w:num>
  <w:num w:numId="17" w16cid:durableId="1018117998">
    <w:abstractNumId w:val="17"/>
  </w:num>
  <w:num w:numId="18" w16cid:durableId="293214422">
    <w:abstractNumId w:val="45"/>
  </w:num>
  <w:num w:numId="19" w16cid:durableId="2035303408">
    <w:abstractNumId w:val="14"/>
  </w:num>
  <w:num w:numId="20" w16cid:durableId="1113787491">
    <w:abstractNumId w:val="35"/>
  </w:num>
  <w:num w:numId="21" w16cid:durableId="1408309337">
    <w:abstractNumId w:val="37"/>
  </w:num>
  <w:num w:numId="22" w16cid:durableId="778716432">
    <w:abstractNumId w:val="25"/>
  </w:num>
  <w:num w:numId="23" w16cid:durableId="734820291">
    <w:abstractNumId w:val="29"/>
  </w:num>
  <w:num w:numId="24" w16cid:durableId="1883980290">
    <w:abstractNumId w:val="7"/>
  </w:num>
  <w:num w:numId="25" w16cid:durableId="721752711">
    <w:abstractNumId w:val="55"/>
  </w:num>
  <w:num w:numId="26" w16cid:durableId="2003655516">
    <w:abstractNumId w:val="46"/>
  </w:num>
  <w:num w:numId="27" w16cid:durableId="1825463945">
    <w:abstractNumId w:val="21"/>
  </w:num>
  <w:num w:numId="28" w16cid:durableId="493185700">
    <w:abstractNumId w:val="2"/>
  </w:num>
  <w:num w:numId="29" w16cid:durableId="831530226">
    <w:abstractNumId w:val="44"/>
  </w:num>
  <w:num w:numId="30" w16cid:durableId="672806665">
    <w:abstractNumId w:val="56"/>
  </w:num>
  <w:num w:numId="31" w16cid:durableId="873272303">
    <w:abstractNumId w:val="48"/>
  </w:num>
  <w:num w:numId="32" w16cid:durableId="245186355">
    <w:abstractNumId w:val="31"/>
  </w:num>
  <w:num w:numId="33" w16cid:durableId="213930173">
    <w:abstractNumId w:val="13"/>
  </w:num>
  <w:num w:numId="34" w16cid:durableId="1992320232">
    <w:abstractNumId w:val="47"/>
  </w:num>
  <w:num w:numId="35" w16cid:durableId="1618834286">
    <w:abstractNumId w:val="39"/>
  </w:num>
  <w:num w:numId="36" w16cid:durableId="1683119251">
    <w:abstractNumId w:val="36"/>
  </w:num>
  <w:num w:numId="37" w16cid:durableId="1898466379">
    <w:abstractNumId w:val="4"/>
  </w:num>
  <w:num w:numId="38" w16cid:durableId="1525510709">
    <w:abstractNumId w:val="41"/>
  </w:num>
  <w:num w:numId="39" w16cid:durableId="1554467442">
    <w:abstractNumId w:val="11"/>
  </w:num>
  <w:num w:numId="40" w16cid:durableId="471825994">
    <w:abstractNumId w:val="18"/>
  </w:num>
  <w:num w:numId="41" w16cid:durableId="158038482">
    <w:abstractNumId w:val="26"/>
  </w:num>
  <w:num w:numId="42" w16cid:durableId="2142648782">
    <w:abstractNumId w:val="1"/>
  </w:num>
  <w:num w:numId="43" w16cid:durableId="121463486">
    <w:abstractNumId w:val="12"/>
  </w:num>
  <w:num w:numId="44" w16cid:durableId="1976258638">
    <w:abstractNumId w:val="15"/>
  </w:num>
  <w:num w:numId="45" w16cid:durableId="753471285">
    <w:abstractNumId w:val="42"/>
  </w:num>
  <w:num w:numId="46" w16cid:durableId="679043261">
    <w:abstractNumId w:val="3"/>
  </w:num>
  <w:num w:numId="47" w16cid:durableId="1976835958">
    <w:abstractNumId w:val="10"/>
  </w:num>
  <w:num w:numId="48" w16cid:durableId="775445922">
    <w:abstractNumId w:val="22"/>
  </w:num>
  <w:num w:numId="49" w16cid:durableId="1642417234">
    <w:abstractNumId w:val="40"/>
  </w:num>
  <w:num w:numId="50" w16cid:durableId="1986543045">
    <w:abstractNumId w:val="8"/>
  </w:num>
  <w:num w:numId="51" w16cid:durableId="1456023270">
    <w:abstractNumId w:val="23"/>
  </w:num>
  <w:num w:numId="52" w16cid:durableId="961233429">
    <w:abstractNumId w:val="5"/>
  </w:num>
  <w:num w:numId="53" w16cid:durableId="707341326">
    <w:abstractNumId w:val="6"/>
  </w:num>
  <w:num w:numId="54" w16cid:durableId="1556046804">
    <w:abstractNumId w:val="49"/>
  </w:num>
  <w:num w:numId="55" w16cid:durableId="609625482">
    <w:abstractNumId w:val="24"/>
  </w:num>
  <w:num w:numId="56" w16cid:durableId="334457131">
    <w:abstractNumId w:val="50"/>
  </w:num>
  <w:num w:numId="57" w16cid:durableId="25066747">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17F7"/>
    <w:pPr>
      <w:spacing w:line="240" w:lineRule="auto"/>
    </w:pPr>
    <w:rPr>
      <w:rFonts w:ascii="Arial" w:hAnsi="Arial"/>
      <w:sz w:val="20"/>
      <w:lang w:val="en-US"/>
    </w:rPr>
  </w:style>
  <w:style w:type="paragraph" w:styleId="berschrift1">
    <w:name w:val="heading 1"/>
    <w:basedOn w:val="Standard"/>
    <w:next w:val="Standard"/>
    <w:uiPriority w:val="9"/>
    <w:qFormat/>
    <w:pPr>
      <w:keepNext/>
      <w:keepLines/>
      <w:outlineLvl w:val="0"/>
    </w:pPr>
    <w:rPr>
      <w:sz w:val="36"/>
      <w:szCs w:val="36"/>
    </w:rPr>
  </w:style>
  <w:style w:type="paragraph" w:styleId="berschrift2">
    <w:name w:val="heading 2"/>
    <w:basedOn w:val="Standard"/>
    <w:next w:val="Standard"/>
    <w:uiPriority w:val="9"/>
    <w:unhideWhenUsed/>
    <w:qFormat/>
    <w:pPr>
      <w:keepNext/>
      <w:keepLines/>
      <w:outlineLvl w:val="1"/>
    </w:pPr>
    <w:rPr>
      <w:b/>
      <w:color w:val="666666"/>
      <w:sz w:val="32"/>
      <w:szCs w:val="32"/>
    </w:rPr>
  </w:style>
  <w:style w:type="paragraph" w:styleId="berschrift3">
    <w:name w:val="heading 3"/>
    <w:basedOn w:val="Standard"/>
    <w:next w:val="Standard"/>
    <w:uiPriority w:val="9"/>
    <w:unhideWhenUsed/>
    <w:qFormat/>
    <w:rsid w:val="00485364"/>
    <w:pPr>
      <w:keepNext/>
      <w:keepLines/>
      <w:outlineLvl w:val="2"/>
    </w:pPr>
    <w:rPr>
      <w:b/>
      <w:sz w:val="28"/>
      <w:szCs w:val="28"/>
    </w:rPr>
  </w:style>
  <w:style w:type="paragraph" w:styleId="berschrift4">
    <w:name w:val="heading 4"/>
    <w:basedOn w:val="Standard"/>
    <w:next w:val="Standard"/>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uiPriority w:val="9"/>
    <w:unhideWhenUsed/>
    <w:qFormat/>
    <w:pPr>
      <w:keepNext/>
      <w:keepLines/>
      <w:outlineLvl w:val="4"/>
    </w:pPr>
    <w:rPr>
      <w:b/>
      <w:color w:val="434343"/>
    </w:rPr>
  </w:style>
  <w:style w:type="paragraph" w:styleId="berschrift6">
    <w:name w:val="heading 6"/>
    <w:basedOn w:val="Standard"/>
    <w:next w:val="Standard"/>
    <w:uiPriority w:val="9"/>
    <w:semiHidden/>
    <w:unhideWhenUsed/>
    <w:qFormat/>
    <w:pPr>
      <w:keepNext/>
      <w:keepLines/>
      <w:spacing w:before="240" w:after="80"/>
      <w:outlineLvl w:val="5"/>
    </w:pPr>
    <w:rPr>
      <w:i/>
      <w:color w:val="666666"/>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rFonts w:ascii="Arial" w:hAnsi="Arial" w:cs="Arial"/>
      <w:color w:val="666666"/>
      <w:sz w:val="30"/>
      <w:szCs w:val="30"/>
    </w:rPr>
  </w:style>
  <w:style w:type="table" w:customStyle="1" w:styleId="a">
    <w:basedOn w:val="NormaleTabelle"/>
    <w:tblPr>
      <w:tblStyleRowBandSize w:val="1"/>
      <w:tblStyleColBandSize w:val="1"/>
      <w:tblCellMar>
        <w:top w:w="100" w:type="dxa"/>
        <w:left w:w="100" w:type="dxa"/>
        <w:bottom w:w="100" w:type="dxa"/>
        <w:right w:w="100" w:type="dxa"/>
      </w:tblCellMar>
    </w:tblPr>
  </w:style>
  <w:style w:type="table" w:customStyle="1" w:styleId="a0">
    <w:basedOn w:val="NormaleTabelle"/>
    <w:tblPr>
      <w:tblStyleRowBandSize w:val="1"/>
      <w:tblStyleColBandSize w:val="1"/>
      <w:tblCellMar>
        <w:top w:w="100" w:type="dxa"/>
        <w:left w:w="100" w:type="dxa"/>
        <w:bottom w:w="100" w:type="dxa"/>
        <w:right w:w="100" w:type="dxa"/>
      </w:tblCellMar>
    </w:tblPr>
  </w:style>
  <w:style w:type="table" w:customStyle="1" w:styleId="a1">
    <w:basedOn w:val="NormaleTabelle"/>
    <w:tblPr>
      <w:tblStyleRowBandSize w:val="1"/>
      <w:tblStyleColBandSize w:val="1"/>
      <w:tblCellMar>
        <w:top w:w="100" w:type="dxa"/>
        <w:left w:w="100" w:type="dxa"/>
        <w:bottom w:w="100" w:type="dxa"/>
        <w:right w:w="100" w:type="dxa"/>
      </w:tblCellMar>
    </w:tblPr>
  </w:style>
  <w:style w:type="table" w:customStyle="1" w:styleId="a2">
    <w:basedOn w:val="NormaleTabelle"/>
    <w:tblPr>
      <w:tblStyleRowBandSize w:val="1"/>
      <w:tblStyleColBandSize w:val="1"/>
      <w:tblCellMar>
        <w:top w:w="100" w:type="dxa"/>
        <w:left w:w="100" w:type="dxa"/>
        <w:bottom w:w="100" w:type="dxa"/>
        <w:right w:w="100" w:type="dxa"/>
      </w:tblCellMar>
    </w:tblPr>
  </w:style>
  <w:style w:type="table" w:customStyle="1" w:styleId="a3">
    <w:basedOn w:val="NormaleTabelle"/>
    <w:tblPr>
      <w:tblStyleRowBandSize w:val="1"/>
      <w:tblStyleColBandSize w:val="1"/>
      <w:tblCellMar>
        <w:top w:w="100" w:type="dxa"/>
        <w:left w:w="100" w:type="dxa"/>
        <w:bottom w:w="100" w:type="dxa"/>
        <w:right w:w="100" w:type="dxa"/>
      </w:tblCellMar>
    </w:tblPr>
  </w:style>
  <w:style w:type="table" w:customStyle="1" w:styleId="a4">
    <w:basedOn w:val="NormaleTabelle"/>
    <w:tblPr>
      <w:tblStyleRowBandSize w:val="1"/>
      <w:tblStyleColBandSize w:val="1"/>
      <w:tblCellMar>
        <w:top w:w="100" w:type="dxa"/>
        <w:left w:w="100" w:type="dxa"/>
        <w:bottom w:w="100" w:type="dxa"/>
        <w:right w:w="100" w:type="dxa"/>
      </w:tblCellMar>
    </w:tblPr>
  </w:style>
  <w:style w:type="table" w:customStyle="1" w:styleId="a5">
    <w:basedOn w:val="NormaleTabelle"/>
    <w:tblPr>
      <w:tblStyleRowBandSize w:val="1"/>
      <w:tblStyleColBandSize w:val="1"/>
      <w:tblCellMar>
        <w:top w:w="100" w:type="dxa"/>
        <w:left w:w="100" w:type="dxa"/>
        <w:bottom w:w="100" w:type="dxa"/>
        <w:right w:w="100" w:type="dxa"/>
      </w:tblCellMar>
    </w:tblPr>
  </w:style>
  <w:style w:type="table" w:customStyle="1" w:styleId="a6">
    <w:basedOn w:val="NormaleTabelle"/>
    <w:tblPr>
      <w:tblStyleRowBandSize w:val="1"/>
      <w:tblStyleColBandSize w:val="1"/>
      <w:tblCellMar>
        <w:top w:w="100" w:type="dxa"/>
        <w:left w:w="100" w:type="dxa"/>
        <w:bottom w:w="100" w:type="dxa"/>
        <w:right w:w="100" w:type="dxa"/>
      </w:tblCellMar>
    </w:tblPr>
  </w:style>
  <w:style w:type="table" w:customStyle="1" w:styleId="a7">
    <w:basedOn w:val="NormaleTabelle"/>
    <w:tblPr>
      <w:tblStyleRowBandSize w:val="1"/>
      <w:tblStyleColBandSize w:val="1"/>
      <w:tblCellMar>
        <w:top w:w="100" w:type="dxa"/>
        <w:left w:w="100" w:type="dxa"/>
        <w:bottom w:w="100" w:type="dxa"/>
        <w:right w:w="100" w:type="dxa"/>
      </w:tblCellMar>
    </w:tblPr>
  </w:style>
  <w:style w:type="table" w:customStyle="1" w:styleId="a8">
    <w:basedOn w:val="NormaleTabelle"/>
    <w:rsid w:val="00C33A9B"/>
    <w:tblPr>
      <w:tblStyleRowBandSize w:val="1"/>
      <w:tblStyleColBandSize w:val="1"/>
      <w:tblCellMar>
        <w:top w:w="100" w:type="dxa"/>
        <w:left w:w="100" w:type="dxa"/>
        <w:bottom w:w="100" w:type="dxa"/>
        <w:right w:w="100" w:type="dxa"/>
      </w:tblCellMar>
    </w:tblPr>
  </w:style>
  <w:style w:type="table" w:customStyle="1" w:styleId="a9">
    <w:basedOn w:val="NormaleTabelle"/>
    <w:tblPr>
      <w:tblStyleRowBandSize w:val="1"/>
      <w:tblStyleColBandSize w:val="1"/>
      <w:tblCellMar>
        <w:top w:w="100" w:type="dxa"/>
        <w:left w:w="100" w:type="dxa"/>
        <w:bottom w:w="100" w:type="dxa"/>
        <w:right w:w="100" w:type="dxa"/>
      </w:tblCellMar>
    </w:tblPr>
  </w:style>
  <w:style w:type="table" w:customStyle="1" w:styleId="aa">
    <w:basedOn w:val="NormaleTabelle"/>
    <w:tblPr>
      <w:tblStyleRowBandSize w:val="1"/>
      <w:tblStyleColBandSize w:val="1"/>
      <w:tblCellMar>
        <w:top w:w="100" w:type="dxa"/>
        <w:left w:w="100" w:type="dxa"/>
        <w:bottom w:w="100" w:type="dxa"/>
        <w:right w:w="100" w:type="dxa"/>
      </w:tblCellMar>
    </w:tblPr>
  </w:style>
  <w:style w:type="table" w:customStyle="1" w:styleId="ab">
    <w:basedOn w:val="NormaleTabelle"/>
    <w:tblPr>
      <w:tblStyleRowBandSize w:val="1"/>
      <w:tblStyleColBandSize w:val="1"/>
      <w:tblCellMar>
        <w:top w:w="100" w:type="dxa"/>
        <w:left w:w="100" w:type="dxa"/>
        <w:bottom w:w="100" w:type="dxa"/>
        <w:right w:w="100" w:type="dxa"/>
      </w:tblCellMar>
    </w:tblPr>
  </w:style>
  <w:style w:type="table" w:customStyle="1" w:styleId="ac">
    <w:basedOn w:val="NormaleTabelle"/>
    <w:tblPr>
      <w:tblStyleRowBandSize w:val="1"/>
      <w:tblStyleColBandSize w:val="1"/>
      <w:tblCellMar>
        <w:top w:w="100" w:type="dxa"/>
        <w:left w:w="100" w:type="dxa"/>
        <w:bottom w:w="100" w:type="dxa"/>
        <w:right w:w="100" w:type="dxa"/>
      </w:tblCellMar>
    </w:tblPr>
  </w:style>
  <w:style w:type="table" w:customStyle="1" w:styleId="ad">
    <w:basedOn w:val="NormaleTabelle"/>
    <w:tblPr>
      <w:tblStyleRowBandSize w:val="1"/>
      <w:tblStyleColBandSize w:val="1"/>
      <w:tblCellMar>
        <w:top w:w="100" w:type="dxa"/>
        <w:left w:w="100" w:type="dxa"/>
        <w:bottom w:w="100" w:type="dxa"/>
        <w:right w:w="100" w:type="dxa"/>
      </w:tblCellMar>
    </w:tblPr>
  </w:style>
  <w:style w:type="table" w:customStyle="1" w:styleId="ae">
    <w:basedOn w:val="NormaleTabelle"/>
    <w:tblPr>
      <w:tblStyleRowBandSize w:val="1"/>
      <w:tblStyleColBandSize w:val="1"/>
      <w:tblCellMar>
        <w:top w:w="100" w:type="dxa"/>
        <w:left w:w="100" w:type="dxa"/>
        <w:bottom w:w="100" w:type="dxa"/>
        <w:right w:w="100" w:type="dxa"/>
      </w:tblCellMar>
    </w:tblPr>
  </w:style>
  <w:style w:type="table" w:customStyle="1" w:styleId="af">
    <w:basedOn w:val="NormaleTabelle"/>
    <w:tblPr>
      <w:tblStyleRowBandSize w:val="1"/>
      <w:tblStyleColBandSize w:val="1"/>
      <w:tblCellMar>
        <w:top w:w="100" w:type="dxa"/>
        <w:left w:w="100" w:type="dxa"/>
        <w:bottom w:w="100" w:type="dxa"/>
        <w:right w:w="100" w:type="dxa"/>
      </w:tblCellMar>
    </w:tblPr>
  </w:style>
  <w:style w:type="table" w:customStyle="1" w:styleId="af0">
    <w:basedOn w:val="NormaleTabelle"/>
    <w:tblPr>
      <w:tblStyleRowBandSize w:val="1"/>
      <w:tblStyleColBandSize w:val="1"/>
      <w:tblCellMar>
        <w:top w:w="100" w:type="dxa"/>
        <w:left w:w="100" w:type="dxa"/>
        <w:bottom w:w="100" w:type="dxa"/>
        <w:right w:w="100" w:type="dxa"/>
      </w:tblCellMar>
    </w:tblPr>
  </w:style>
  <w:style w:type="table" w:customStyle="1" w:styleId="af1">
    <w:basedOn w:val="NormaleTabelle"/>
    <w:tblPr>
      <w:tblStyleRowBandSize w:val="1"/>
      <w:tblStyleColBandSize w:val="1"/>
      <w:tblCellMar>
        <w:top w:w="100" w:type="dxa"/>
        <w:left w:w="100" w:type="dxa"/>
        <w:bottom w:w="100" w:type="dxa"/>
        <w:right w:w="100" w:type="dxa"/>
      </w:tblCellMar>
    </w:tblPr>
  </w:style>
  <w:style w:type="table" w:customStyle="1" w:styleId="af2">
    <w:basedOn w:val="NormaleTabelle"/>
    <w:tblPr>
      <w:tblStyleRowBandSize w:val="1"/>
      <w:tblStyleColBandSize w:val="1"/>
      <w:tblCellMar>
        <w:top w:w="100" w:type="dxa"/>
        <w:left w:w="100" w:type="dxa"/>
        <w:bottom w:w="100" w:type="dxa"/>
        <w:right w:w="100" w:type="dxa"/>
      </w:tblCellMar>
    </w:tblPr>
  </w:style>
  <w:style w:type="table" w:customStyle="1" w:styleId="af3">
    <w:basedOn w:val="NormaleTabelle"/>
    <w:tblPr>
      <w:tblStyleRowBandSize w:val="1"/>
      <w:tblStyleColBandSize w:val="1"/>
      <w:tblCellMar>
        <w:top w:w="100" w:type="dxa"/>
        <w:left w:w="100" w:type="dxa"/>
        <w:bottom w:w="100" w:type="dxa"/>
        <w:right w:w="100" w:type="dxa"/>
      </w:tblCellMar>
    </w:tblPr>
  </w:style>
  <w:style w:type="table" w:customStyle="1" w:styleId="af4">
    <w:basedOn w:val="NormaleTabelle"/>
    <w:tblPr>
      <w:tblStyleRowBandSize w:val="1"/>
      <w:tblStyleColBandSize w:val="1"/>
      <w:tblCellMar>
        <w:top w:w="100" w:type="dxa"/>
        <w:left w:w="100" w:type="dxa"/>
        <w:bottom w:w="100" w:type="dxa"/>
        <w:right w:w="100" w:type="dxa"/>
      </w:tblCellMar>
    </w:tblPr>
  </w:style>
  <w:style w:type="table" w:customStyle="1" w:styleId="af5">
    <w:basedOn w:val="NormaleTabelle"/>
    <w:tblPr>
      <w:tblStyleRowBandSize w:val="1"/>
      <w:tblStyleColBandSize w:val="1"/>
      <w:tblCellMar>
        <w:top w:w="100" w:type="dxa"/>
        <w:left w:w="100" w:type="dxa"/>
        <w:bottom w:w="100" w:type="dxa"/>
        <w:right w:w="100" w:type="dxa"/>
      </w:tblCellMar>
    </w:tblPr>
  </w:style>
  <w:style w:type="table" w:customStyle="1" w:styleId="af6">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rsid w:val="0083428F"/>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rsid w:val="00132CBB"/>
  </w:style>
  <w:style w:type="character" w:customStyle="1" w:styleId="TextkrperZchn">
    <w:name w:val="Textkörper Zchn"/>
    <w:basedOn w:val="Absatz-Standardschriftart"/>
    <w:link w:val="Textkrper"/>
    <w:uiPriority w:val="99"/>
    <w:rsid w:val="00132CBB"/>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uiPriority w:val="35"/>
    <w:semiHidden/>
    <w:unhideWhenUsed/>
    <w:qFormat/>
    <w:rsid w:val="00132CBB"/>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116</cp:revision>
  <dcterms:created xsi:type="dcterms:W3CDTF">2025-08-11T09:07:00Z</dcterms:created>
  <dcterms:modified xsi:type="dcterms:W3CDTF">2026-06-04T18:35:00Z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