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S7. Geographic and photoperiod associations</w:t>
      </w:r>
    </w:p>
    <w:tbl>
      <w:tblPr>
        <w:tblW w:type="dxa" w:w="15192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024"/>
        <w:gridCol w:w="1440"/>
        <w:gridCol w:w="1512"/>
        <w:gridCol w:w="1512"/>
        <w:gridCol w:w="1512"/>
        <w:gridCol w:w="1296"/>
        <w:gridCol w:w="1656"/>
        <w:gridCol w:w="3240"/>
      </w:tblGrid>
      <w:tr>
        <w:trPr>
          <w:cantSplit/>
          <w:tblHeader/>
        </w:trPr>
        <w:tc>
          <w:tcPr>
            <w:tcW w:type="dxa" w:w="3024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4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 site FDR-adjusted p</w:t>
            </w:r>
          </w:p>
        </w:tc>
        <w:tc>
          <w:tcPr>
            <w:tcW w:type="dxa" w:w="3024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Photoperiod </w:t>
            </w:r>
          </w:p>
        </w:tc>
        <w:tc>
          <w:tcPr>
            <w:tcW w:type="dxa" w:w="2808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Latitude </w:t>
            </w:r>
          </w:p>
        </w:tc>
        <w:tc>
          <w:tcPr>
            <w:tcW w:type="dxa" w:w="1656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Site-versus-latitude FDR-adjusted p</w:t>
            </w:r>
          </w:p>
        </w:tc>
        <w:tc>
          <w:tcPr>
            <w:tcW w:type="dxa" w:w="32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Exact fitted sample</w:t>
            </w:r>
          </w:p>
        </w:tc>
      </w:tr>
      <w:tr>
        <w:trPr>
          <w:cantSplit/>
          <w:tblHeader/>
        </w:trPr>
        <w:tc>
          <w:tcPr>
            <w:tcW w:type="dxa" w:w="3024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440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association (95% CI)</w:t>
            </w: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FDR-adjusted p</w:t>
            </w: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association per 10° (95% CI)</w:t>
            </w:r>
          </w:p>
        </w:tc>
        <w:tc>
          <w:tcPr>
            <w:tcW w:type="dxa" w:w="129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FDR-adjusted p</w:t>
            </w:r>
          </w:p>
        </w:tc>
        <w:tc>
          <w:tcPr>
            <w:tcW w:type="dxa" w:w="1656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3240"/>
            <w:vMerge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15192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Dynamics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Interdaily stability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0.228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×0.98 [0.94–1.02]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×1.01 [0.96–1.06]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6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0.175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Intradaily variability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0.483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-0.02 [-0.06–0.02]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0.327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-0.04 [-0.08–0.01]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0.139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0.723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5192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Level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×1.18 [1.11–1.26]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×1.15 [1.07–1.25]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0.032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×1.24 [1.13–1.36]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×1.24 [1.11–1.39]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0.001</w:t>
            </w:r>
          </w:p>
        </w:tc>
        <w:tc>
          <w:tcPr>
            <w:tcW w:type="dxa" w:w="16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0.325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×1.09 [1.03–1.14]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0.002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×1.04 [0.97–1.11]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0.400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15192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Duration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×1.21 [1.13–1.29]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×1.03 [0.94–1.12]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0.769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0.053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×1.14 [1.07–1.20]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 [1.04–1.20]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6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0.053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737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10 lx melEDI before sleep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0.049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-0.13 [-0.20–-0.07] h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0.00 [-0.09–0.09] h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0.962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0.040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139;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655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below 1 lx melEDI during sleep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0.058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×0.99 [0.97–1.01]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×1.00 [0.97–1.02]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6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0.043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778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0.398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×1.12 [1.07–1.19]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×1.06 [0.99–1.13]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0.139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0.626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</w:tbl>
    <w:p>
      <w:pPr>
        <w:spacing w:before="0" w:after="0" w:line="20" w:lineRule="exact"/>
        <w:pageBreakBefore/>
      </w:pPr>
    </w:p>
    <w:tbl>
      <w:tblPr>
        <w:tblW w:type="dxa" w:w="15192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024"/>
        <w:gridCol w:w="1440"/>
        <w:gridCol w:w="1512"/>
        <w:gridCol w:w="1512"/>
        <w:gridCol w:w="1512"/>
        <w:gridCol w:w="1296"/>
        <w:gridCol w:w="1656"/>
        <w:gridCol w:w="3240"/>
      </w:tblGrid>
      <w:tr>
        <w:trPr>
          <w:cantSplit/>
          <w:tblHeader/>
        </w:trPr>
        <w:tc>
          <w:tcPr>
            <w:tcW w:type="dxa" w:w="3024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14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Overall site FDR-adjusted p</w:t>
            </w:r>
          </w:p>
        </w:tc>
        <w:tc>
          <w:tcPr>
            <w:tcW w:type="dxa" w:w="3024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Photoperiod </w:t>
            </w:r>
          </w:p>
        </w:tc>
        <w:tc>
          <w:tcPr>
            <w:tcW w:type="dxa" w:w="2808"/>
            <w:gridSpan w:val="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Latitude </w:t>
            </w:r>
          </w:p>
        </w:tc>
        <w:tc>
          <w:tcPr>
            <w:tcW w:type="dxa" w:w="1656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Site-versus-latitude FDR-adjusted p</w:t>
            </w:r>
          </w:p>
        </w:tc>
        <w:tc>
          <w:tcPr>
            <w:tcW w:type="dxa" w:w="3240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Exact fitted sample</w:t>
            </w:r>
          </w:p>
        </w:tc>
      </w:tr>
      <w:tr>
        <w:trPr>
          <w:cantSplit/>
          <w:tblHeader/>
        </w:trPr>
        <w:tc>
          <w:tcPr>
            <w:tcW w:type="dxa" w:w="3024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440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association (95% CI)</w:t>
            </w: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Photoperiod FDR-adjusted p</w:t>
            </w:r>
          </w:p>
        </w:tc>
        <w:tc>
          <w:tcPr>
            <w:tcW w:type="dxa" w:w="151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association per 10° (95% CI)</w:t>
            </w:r>
          </w:p>
        </w:tc>
        <w:tc>
          <w:tcPr>
            <w:tcW w:type="dxa" w:w="1296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Latitude FDR-adjusted p</w:t>
            </w:r>
          </w:p>
        </w:tc>
        <w:tc>
          <w:tcPr>
            <w:tcW w:type="dxa" w:w="1656"/>
            <w:vMerge/>
          </w:tcPr>
          <w:p>
            <w:pPr>
              <w:keepNext w:val="0"/>
              <w:spacing w:before="0" w:after="0" w:line="240" w:lineRule="auto"/>
            </w:pPr>
          </w:p>
        </w:tc>
        <w:tc>
          <w:tcPr>
            <w:tcW w:type="dxa" w:w="3240"/>
            <w:vMerge/>
          </w:tcPr>
          <w:p>
            <w:pPr>
              <w:keepNext w:val="0"/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15192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Timing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brightest 10 hours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 [-0.05–0.15] h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0.305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0.19 [0.06–0.32] h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0.010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Midpoint of the darkest 10 hours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0.020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-0.15 [-0.25–-0.05] h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0.004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0.12 [-0.00–0.24] h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0.114</w:t>
            </w:r>
          </w:p>
        </w:tc>
        <w:tc>
          <w:tcPr>
            <w:tcW w:type="dxa" w:w="16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0.043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816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timing of exposure above 250 lx melEDI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0.12 [0.03–0.21] h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0.33 [0.21–0.46] h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742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First light timing above 250 lx melEDI</w:t>
            </w:r>
          </w:p>
        </w:tc>
        <w:tc>
          <w:tcPr>
            <w:tcW w:type="dxa" w:w="14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0.112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-0.10 [-0.25–0.05] h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0.227</w:t>
            </w:r>
          </w:p>
        </w:tc>
        <w:tc>
          <w:tcPr>
            <w:tcW w:type="dxa" w:w="151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0.02 [-0.17–0.21] h</w:t>
            </w:r>
          </w:p>
        </w:tc>
        <w:tc>
          <w:tcPr>
            <w:tcW w:type="dxa" w:w="129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656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0.077</w:t>
            </w:r>
          </w:p>
        </w:tc>
        <w:tc>
          <w:tcPr>
            <w:tcW w:type="dxa" w:w="324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140;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727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Last light timing above 250 lx melEDI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0.32 [0.19–0.46] h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0.46 [0.27–0.64] h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687</w:t>
            </w:r>
          </w:p>
        </w:tc>
      </w:tr>
      <w:tr>
        <w:trPr>
          <w:cantSplit/>
        </w:trPr>
        <w:tc>
          <w:tcPr>
            <w:tcW w:type="dxa" w:w="15192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Exposure history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0.209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×1.28 [1.17–1.39]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×1.02 [0.91–1.13]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0.903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0.156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141;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761</w:t>
            </w:r>
          </w:p>
        </w:tc>
      </w:tr>
      <w:tr>
        <w:trPr>
          <w:cantSplit/>
        </w:trPr>
        <w:tc>
          <w:tcPr>
            <w:tcW w:type="dxa" w:w="15192"/>
            <w:gridSpan w:val="8"/>
            <w:vAlign w:val="center"/>
            <w:shd w:fill="F1F3F5" w:val="clear"/>
          </w:tcPr>
          <w:p>
            <w:pPr>
              <w:keepNext w:val="1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Spectrum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Melanopic daylight efficacy ratio</w:t>
            </w:r>
          </w:p>
        </w:tc>
        <w:tc>
          <w:tcPr>
            <w:tcW w:type="dxa" w:w="14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0.02 [0.02–0.03]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151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-0.01 [-0.02–-0.00]</w:t>
            </w:r>
          </w:p>
        </w:tc>
        <w:tc>
          <w:tcPr>
            <w:tcW w:type="dxa" w:w="129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0.013</w:t>
            </w:r>
          </w:p>
        </w:tc>
        <w:tc>
          <w:tcPr>
            <w:tcW w:type="dxa" w:w="1656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0.010</w:t>
            </w:r>
          </w:p>
        </w:tc>
        <w:tc>
          <w:tcPr>
            <w:tcW w:type="dxa" w:w="324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137; </w:t>
              <w:br/>
            </w:r>
            <w:r>
              <w:rPr>
                <w:rFonts w:ascii="Arial" w:hAnsi="Arial"/>
                <w:b w:val="0"/>
                <w:i/>
                <w:color w:val="333333"/>
                <w:sz w:val="20"/>
              </w:rPr>
              <w:t>n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  <w:vertAlign w:val="subscript"/>
              </w:rPr>
              <w:t>participant-days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= 702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This summary combines the model-level decisions, photoperiod and latitude associations, 95% CIs, and exact fitted samples. Each displayed p-value is FDR-adjusted within its explicitly labelled complete 17-test family; bold values meet the FDR-adjusted p &lt; 0.050 rule. Full raw p-values and test statistics remain in the detailed tables below. Exact fitted samples use italic n with participant and participant-day subscripts. For the 15 participant-day models, the participant-day count equals the number of fitted observations. The two participant-level dynamics models use one fitted observation per participant and retain the participant-day count as contributing repeated-day support. All models include nine sites.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S7.</w:t>
      </w:r>
      <w:r>
        <w:rPr>
          <w:rFonts w:ascii="Arial" w:hAnsi="Arial"/>
          <w:b w:val="0"/>
          <w:i w:val="0"/>
          <w:color w:val="333333"/>
          <w:sz w:val="20"/>
        </w:rPr>
        <w:t xml:space="preserve"> Overall-site, civil-photoperiod and absolute-latitude associations for the 17 near-eye personal light-exposure metrics. Each displayed </w:t>
      </w:r>
      <w:r>
        <w:rPr>
          <w:rFonts w:ascii="Arial" w:hAnsi="Arial"/>
          <w:b w:val="0"/>
          <w:i/>
          <w:color w:val="333333"/>
          <w:sz w:val="20"/>
        </w:rPr>
        <w:t>p</w:t>
      </w:r>
      <w:r>
        <w:rPr>
          <w:rFonts w:ascii="Arial" w:hAnsi="Arial"/>
          <w:b w:val="0"/>
          <w:i w:val="0"/>
          <w:color w:val="333333"/>
          <w:sz w:val="20"/>
        </w:rPr>
        <w:t xml:space="preserve"> value is FDR-adjusted within its stated 17-test family. Site and latitude were evaluated in separate models because absolute latitude is fixed within and confounded with study site.</w:t>
      </w:r>
    </w:p>
    <w:sectPr w:rsidR="00597312" w:rsidRPr="00791F7F" w:rsidSect="0000781E">
      <w:footerReference w:type="even" r:id="rId8"/>
      <w:footerReference w:type="default" r:id="rId9"/>
      <w:pgSz w:w="16838" w:h="11906" w:orient="landscape"/>
      <w:pgMar w:top="792" w:right="648" w:bottom="792" w:left="648" w:header="400" w:footer="40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