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spacing w:before="0" w:after="160" w:line="240" w:lineRule="auto"/>
        <w:ind w:firstLine="0"/>
        <w:jc w:val="left"/>
      </w:pPr>
      <w:r>
        <w:rPr>
          <w:rFonts w:ascii="Arial" w:hAnsi="Arial"/>
          <w:b/>
          <w:i w:val="0"/>
          <w:color w:val="000000"/>
          <w:sz w:val="28"/>
        </w:rPr>
        <w:t>Table 3. Near-eye metrics and geographic and photoperiod context</w:t>
      </w:r>
    </w:p>
    <w:p>
      <w:pPr>
        <w:keepNext/>
        <w:keepLines/>
        <w:spacing w:before="0" w:after="160" w:line="240" w:lineRule="auto"/>
        <w:ind w:firstLine="0"/>
        <w:jc w:val="left"/>
      </w:pPr>
      <w:r>
        <w:rPr>
          <w:rFonts w:ascii="Arial" w:hAnsi="Arial"/>
          <w:b w:val="0"/>
          <w:i w:val="0"/>
          <w:color w:val="333333"/>
          <w:sz w:val="20"/>
        </w:rPr>
        <w:t xml:space="preserve"> 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 </w:t>
      </w:r>
    </w:p>
    <w:tbl>
      <w:tblPr>
        <w:tblW w:type="dxa" w:w="15250"/>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1625"/>
        <w:gridCol w:w="2375"/>
        <w:gridCol w:w="1750"/>
        <w:gridCol w:w="1375"/>
        <w:gridCol w:w="1875"/>
        <w:gridCol w:w="2937"/>
        <w:gridCol w:w="3312"/>
      </w:tblGrid>
      <w:tr>
        <w:trPr>
          <w:cantSplit/>
          <w:tblHeader/>
        </w:trPr>
        <w:tc>
          <w:tcPr>
            <w:tcW w:type="dxa" w:w="15250"/>
            <w:gridSpan w:val="7"/>
            <w:vAlign w:val="center"/>
            <w:shd w:fill="FFFFFF" w:val="clear"/>
          </w:tcPr>
          <w:p>
            <w:pPr>
              <w:keepNext w:val="0"/>
              <w:keepLines/>
              <w:spacing w:before="0" w:after="0" w:line="240" w:lineRule="auto"/>
              <w:ind w:firstLine="0"/>
              <w:jc w:val="left"/>
            </w:pPr>
            <w:r/>
            <w:r>
              <w:rPr>
                <w:rFonts w:ascii="Arial" w:hAnsi="Arial"/>
                <w:b/>
                <w:i w:val="0"/>
                <w:color w:val="333333"/>
                <w:sz w:val="20"/>
              </w:rPr>
              <w:t>Near-eye personal light-exposure metrics and their geographic and photoperiod context</w:t>
            </w:r>
          </w:p>
        </w:tc>
      </w:tr>
      <w:tr>
        <w:trPr>
          <w:cantSplit/>
          <w:tblHeader/>
        </w:trPr>
        <w:tc>
          <w:tcPr>
            <w:tcW w:type="dxa" w:w="1625"/>
            <w:vMerge w:val="restart"/>
            <w:vAlign w:val="center"/>
            <w:shd w:fill="FFFFFF" w:val="clear"/>
          </w:tcPr>
          <w:p>
            <w:pPr>
              <w:keepNext w:val="0"/>
              <w:keepLines/>
              <w:spacing w:before="0" w:after="0" w:line="240" w:lineRule="auto"/>
              <w:ind w:firstLine="0"/>
              <w:jc w:val="left"/>
            </w:pPr>
            <w:r/>
          </w:p>
        </w:tc>
        <w:tc>
          <w:tcPr>
            <w:tcW w:type="dxa" w:w="2375"/>
            <w:vMerge w:val="restart"/>
            <w:vAlign w:val="center"/>
            <w:shd w:fill="FFFFFF" w:val="clear"/>
          </w:tcPr>
          <w:p>
            <w:pPr>
              <w:keepNext w:val="0"/>
              <w:keepLines/>
              <w:spacing w:before="0" w:after="0" w:line="240" w:lineRule="auto"/>
              <w:ind w:firstLine="0"/>
              <w:jc w:val="left"/>
            </w:pPr>
            <w:r/>
            <w:r>
              <w:rPr>
                <w:rFonts w:ascii="Arial" w:hAnsi="Arial"/>
                <w:b/>
                <w:i w:val="0"/>
                <w:color w:val="333333"/>
                <w:sz w:val="20"/>
              </w:rPr>
              <w:t>Definition/relevance</w:t>
            </w:r>
          </w:p>
        </w:tc>
        <w:tc>
          <w:tcPr>
            <w:tcW w:type="dxa" w:w="3125"/>
            <w:gridSpan w:val="2"/>
            <w:vAlign w:val="center"/>
            <w:shd w:fill="FFFFFF" w:val="clear"/>
          </w:tcPr>
          <w:p>
            <w:pPr>
              <w:keepNext w:val="0"/>
              <w:keepLines/>
              <w:spacing w:before="0" w:after="0" w:line="240" w:lineRule="auto"/>
              <w:ind w:firstLine="0"/>
              <w:jc w:val="center"/>
            </w:pPr>
            <w:r/>
            <w:r>
              <w:rPr>
                <w:rFonts w:ascii="Arial" w:hAnsi="Arial"/>
                <w:b/>
                <w:i w:val="0"/>
                <w:color w:val="333333"/>
                <w:sz w:val="20"/>
              </w:rPr>
              <w:t xml:space="preserve"> </w:t>
            </w:r>
            <w:r>
              <w:rPr>
                <w:rFonts w:ascii="Arial" w:hAnsi="Arial"/>
                <w:b/>
                <w:i w:val="0"/>
                <w:color w:val="333333"/>
                <w:sz w:val="20"/>
              </w:rPr>
              <w:t>Descriptive summary</w:t>
            </w:r>
            <w:r>
              <w:rPr>
                <w:rFonts w:ascii="Arial" w:hAnsi="Arial"/>
                <w:b/>
                <w:i w:val="0"/>
                <w:color w:val="333333"/>
                <w:sz w:val="20"/>
              </w:rPr>
              <w:t xml:space="preserve"> </w:t>
            </w:r>
          </w:p>
        </w:tc>
        <w:tc>
          <w:tcPr>
            <w:tcW w:type="dxa" w:w="4812"/>
            <w:gridSpan w:val="2"/>
            <w:vAlign w:val="center"/>
            <w:shd w:fill="FFFFFF" w:val="clear"/>
          </w:tcPr>
          <w:p>
            <w:pPr>
              <w:keepNext w:val="0"/>
              <w:keepLines/>
              <w:spacing w:before="0" w:after="0" w:line="240" w:lineRule="auto"/>
              <w:ind w:firstLine="0"/>
              <w:jc w:val="center"/>
            </w:pPr>
            <w:r/>
            <w:r>
              <w:rPr>
                <w:rFonts w:ascii="Arial" w:hAnsi="Arial"/>
                <w:b/>
                <w:i w:val="0"/>
                <w:color w:val="333333"/>
                <w:sz w:val="20"/>
              </w:rPr>
              <w:t xml:space="preserve"> </w:t>
            </w:r>
            <w:r>
              <w:rPr>
                <w:rFonts w:ascii="Arial" w:hAnsi="Arial"/>
                <w:b/>
                <w:i w:val="0"/>
                <w:color w:val="333333"/>
                <w:sz w:val="20"/>
              </w:rPr>
              <w:t>Association evidence</w:t>
            </w:r>
            <w:r>
              <w:rPr>
                <w:rFonts w:ascii="Arial" w:hAnsi="Arial"/>
                <w:b/>
                <w:i w:val="0"/>
                <w:color w:val="333333"/>
                <w:sz w:val="20"/>
              </w:rPr>
              <w:t xml:space="preserve"> </w:t>
            </w:r>
          </w:p>
        </w:tc>
        <w:tc>
          <w:tcPr>
            <w:tcW w:type="dxa" w:w="3312"/>
            <w:vAlign w:val="center"/>
            <w:shd w:fill="FFFFFF" w:val="clear"/>
          </w:tcPr>
          <w:p>
            <w:pPr>
              <w:keepNext w:val="0"/>
              <w:keepLines/>
              <w:spacing w:before="0" w:after="0" w:line="240" w:lineRule="auto"/>
              <w:ind w:firstLine="0"/>
              <w:jc w:val="center"/>
            </w:pPr>
            <w:r/>
            <w:r>
              <w:rPr>
                <w:rFonts w:ascii="Arial" w:hAnsi="Arial"/>
                <w:b/>
                <w:i w:val="0"/>
                <w:color w:val="333333"/>
                <w:sz w:val="20"/>
              </w:rPr>
              <w:t xml:space="preserve"> </w:t>
            </w:r>
            <w:r>
              <w:rPr>
                <w:rFonts w:ascii="Arial" w:hAnsi="Arial"/>
                <w:b/>
                <w:i w:val="0"/>
                <w:color w:val="333333"/>
                <w:sz w:val="20"/>
              </w:rPr>
              <w:t>Modelled variation</w:t>
            </w:r>
            <w:r>
              <w:rPr>
                <w:rFonts w:ascii="Arial" w:hAnsi="Arial"/>
                <w:b/>
                <w:i w:val="0"/>
                <w:color w:val="333333"/>
                <w:sz w:val="20"/>
              </w:rPr>
              <w:t xml:space="preserve"> </w:t>
            </w:r>
          </w:p>
        </w:tc>
      </w:tr>
      <w:tr>
        <w:trPr>
          <w:cantSplit/>
          <w:tblHeader/>
        </w:trPr>
        <w:tc>
          <w:tcPr>
            <w:tcW w:type="dxa" w:w="1625"/>
            <w:vMerge/>
          </w:tcPr>
          <w:p/>
        </w:tc>
        <w:tc>
          <w:tcPr>
            <w:tcW w:type="dxa" w:w="2375"/>
            <w:vMerge/>
          </w:tcPr>
          <w:p/>
        </w:tc>
        <w:tc>
          <w:tcPr>
            <w:tcW w:type="dxa" w:w="1750"/>
            <w:vAlign w:val="center"/>
            <w:shd w:fill="FFFFFF" w:val="clear"/>
          </w:tcPr>
          <w:p>
            <w:pPr>
              <w:keepNext w:val="0"/>
              <w:keepLines/>
              <w:spacing w:before="0" w:after="0" w:line="240" w:lineRule="auto"/>
              <w:ind w:firstLine="0"/>
              <w:jc w:val="left"/>
            </w:pPr>
            <w:r/>
            <w:r>
              <w:rPr>
                <w:rFonts w:ascii="Arial" w:hAnsi="Arial"/>
                <w:b/>
                <w:i w:val="0"/>
                <w:color w:val="333333"/>
                <w:sz w:val="20"/>
              </w:rPr>
              <w:t>Overall distribution</w:t>
            </w:r>
          </w:p>
        </w:tc>
        <w:tc>
          <w:tcPr>
            <w:tcW w:type="dxa" w:w="1375"/>
            <w:vAlign w:val="center"/>
            <w:shd w:fill="FFFFFF" w:val="clear"/>
          </w:tcPr>
          <w:p>
            <w:pPr>
              <w:keepNext w:val="0"/>
              <w:keepLines/>
              <w:spacing w:before="0" w:after="0" w:line="240" w:lineRule="auto"/>
              <w:ind w:firstLine="0"/>
              <w:jc w:val="center"/>
            </w:pPr>
            <w:r/>
            <w:r>
              <w:rPr>
                <w:rFonts w:ascii="Arial" w:hAnsi="Arial"/>
                <w:b/>
                <w:i w:val="0"/>
                <w:color w:val="333333"/>
                <w:sz w:val="20"/>
              </w:rPr>
              <w:t>Site distribution</w:t>
            </w:r>
          </w:p>
        </w:tc>
        <w:tc>
          <w:tcPr>
            <w:tcW w:type="dxa" w:w="1875"/>
            <w:vAlign w:val="center"/>
            <w:shd w:fill="FFFFFF" w:val="clear"/>
          </w:tcPr>
          <w:p>
            <w:pPr>
              <w:keepNext w:val="0"/>
              <w:keepLines/>
              <w:spacing w:before="0" w:after="0" w:line="240" w:lineRule="auto"/>
              <w:ind w:firstLine="0"/>
              <w:jc w:val="left"/>
            </w:pPr>
            <w:r/>
            <w:r>
              <w:rPr>
                <w:rFonts w:ascii="Arial" w:hAnsi="Arial"/>
                <w:b/>
                <w:i w:val="0"/>
                <w:color w:val="333333"/>
                <w:sz w:val="20"/>
              </w:rPr>
              <w:t>Overall site</w:t>
            </w:r>
          </w:p>
        </w:tc>
        <w:tc>
          <w:tcPr>
            <w:tcW w:type="dxa" w:w="2937"/>
            <w:vAlign w:val="center"/>
            <w:shd w:fill="FFFFFF" w:val="clear"/>
          </w:tcPr>
          <w:p>
            <w:pPr>
              <w:keepNext w:val="0"/>
              <w:keepLines/>
              <w:spacing w:before="0" w:after="0" w:line="240" w:lineRule="auto"/>
              <w:ind w:firstLine="0"/>
              <w:jc w:val="left"/>
            </w:pPr>
            <w:r/>
            <w:r>
              <w:rPr>
                <w:rFonts w:ascii="Arial" w:hAnsi="Arial"/>
                <w:b/>
                <w:i w:val="0"/>
                <w:color w:val="333333"/>
                <w:sz w:val="20"/>
              </w:rPr>
              <w:t>Civil photoperiod</w:t>
            </w:r>
          </w:p>
        </w:tc>
        <w:tc>
          <w:tcPr>
            <w:tcW w:type="dxa" w:w="3312"/>
            <w:vAlign w:val="center"/>
            <w:shd w:fill="FFFFFF" w:val="clear"/>
          </w:tcPr>
          <w:p>
            <w:pPr>
              <w:keepNext w:val="0"/>
              <w:keepLines/>
              <w:spacing w:before="0" w:after="0" w:line="240" w:lineRule="auto"/>
              <w:ind w:firstLine="0"/>
              <w:jc w:val="left"/>
            </w:pPr>
            <w:r/>
            <w:r>
              <w:rPr>
                <w:rFonts w:ascii="Arial" w:hAnsi="Arial"/>
                <w:b/>
                <w:i w:val="0"/>
                <w:color w:val="333333"/>
                <w:sz w:val="20"/>
              </w:rPr>
              <w:t>R² summary</w:t>
            </w:r>
          </w:p>
        </w:tc>
      </w:tr>
      <w:tr>
        <w:trPr>
          <w:cantSplit/>
        </w:trPr>
        <w:tc>
          <w:tcPr>
            <w:tcW w:type="dxa" w:w="15250"/>
            <w:gridSpan w:val="7"/>
            <w:vAlign w:val="center"/>
            <w:shd w:fill="FFFFFF" w:val="clear"/>
          </w:tcPr>
          <w:p>
            <w:pPr>
              <w:keepNext/>
              <w:keepLines/>
              <w:spacing w:before="0" w:after="0" w:line="240" w:lineRule="auto"/>
              <w:ind w:firstLine="0"/>
              <w:jc w:val="left"/>
            </w:pPr>
            <w:r/>
            <w:r>
              <w:rPr>
                <w:rFonts w:ascii="Arial" w:hAnsi="Arial"/>
                <w:b/>
                <w:i w:val="0"/>
                <w:color w:val="333333"/>
                <w:sz w:val="20"/>
              </w:rPr>
              <w:t>Duration</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Time above 1,000 lx melEDI</w:t>
            </w:r>
          </w:p>
        </w:tc>
        <w:tc>
          <w:tcPr>
            <w:tcW w:type="dxa" w:w="2375"/>
            <w:vAlign w:val="center"/>
            <w:shd w:fill="F6F6F6" w:val="clear"/>
          </w:tcPr>
          <w:p>
            <w:pPr>
              <w:keepNext w:val="0"/>
              <w:keepLines/>
              <w:spacing w:before="0" w:after="0" w:line="240" w:lineRule="auto"/>
              <w:ind w:firstLine="0"/>
              <w:jc w:val="left"/>
            </w:pPr>
            <w:r/>
            <w:r>
              <w:rPr>
                <w:rFonts w:ascii="Arial" w:hAnsi="Arial"/>
                <w:b w:val="0"/>
                <w:i w:val="0"/>
                <w:color w:val="333333"/>
                <w:sz w:val="20"/>
              </w:rPr>
              <w:t>Bright-light exposure duration; relevant to daytime alerting and circadian entrainment.</w:t>
            </w:r>
          </w:p>
        </w:tc>
        <w:tc>
          <w:tcPr>
            <w:tcW w:type="dxa" w:w="1750"/>
            <w:vAlign w:val="center"/>
            <w:shd w:fill="F6F6F6"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h</w:t>
            </w:r>
            <w:r>
              <w:br/>
            </w:r>
            <w:r>
              <w:rPr>
                <w:rFonts w:ascii="Arial" w:hAnsi="Arial"/>
                <w:b w:val="0"/>
                <w:i w:val="0"/>
                <w:color w:val="333333"/>
                <w:sz w:val="20"/>
              </w:rPr>
              <w:t>Median</w:t>
            </w:r>
            <w:r>
              <w:rPr>
                <w:rFonts w:ascii="Arial" w:hAnsi="Arial"/>
                <w:b w:val="0"/>
                <w:i w:val="0"/>
                <w:color w:val="333333"/>
                <w:sz w:val="20"/>
              </w:rPr>
              <w:t xml:space="preserve"> 0.683</w:t>
            </w:r>
            <w:r>
              <w:br/>
            </w:r>
            <w:r>
              <w:rPr>
                <w:rFonts w:ascii="Arial" w:hAnsi="Arial"/>
                <w:b w:val="0"/>
                <w:i w:val="0"/>
                <w:color w:val="333333"/>
                <w:sz w:val="20"/>
              </w:rPr>
              <w:t>IQR</w:t>
            </w:r>
            <w:r>
              <w:rPr>
                <w:rFonts w:ascii="Arial" w:hAnsi="Arial"/>
                <w:b w:val="0"/>
                <w:i w:val="0"/>
                <w:color w:val="333333"/>
                <w:sz w:val="20"/>
              </w:rPr>
              <w:t xml:space="preserve"> 0.183 to 1.558</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816</w:t>
            </w:r>
          </w:p>
        </w:tc>
        <w:tc>
          <w:tcPr>
            <w:tcW w:type="dxa" w:w="1375"/>
            <w:vAlign w:val="center"/>
            <w:shd w:fill="F6F6F6"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1" name="Picture 1" descr="Accepted site distribution thumbnail for Time above 1,000 lx melEDI."/>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81685" cy="312674"/>
                          </a:xfrm>
                          <a:prstGeom prst="rect"/>
                        </pic:spPr>
                      </pic:pic>
                    </a:graphicData>
                  </a:graphic>
                </wp:inline>
              </w:drawing>
            </w:r>
          </w:p>
        </w:tc>
        <w:tc>
          <w:tcPr>
            <w:tcW w:type="dxa" w:w="1875"/>
            <w:vAlign w:val="center"/>
            <w:shd w:fill="F6F6F6" w:val="clear"/>
          </w:tcPr>
          <w:p>
            <w:pPr>
              <w:keepNext w:val="0"/>
              <w:keepLines/>
              <w:spacing w:before="0" w:after="0" w:line="240" w:lineRule="auto"/>
              <w:ind w:firstLine="0"/>
              <w:jc w:val="left"/>
            </w:pPr>
            <w:r/>
            <w:r>
              <w:rPr>
                <w:rFonts w:ascii="Arial" w:hAnsi="Arial"/>
                <w:b w:val="0"/>
                <w:i w:val="0"/>
                <w:color w:val="333333"/>
                <w:sz w:val="20"/>
              </w:rPr>
              <w:t>FDR</w:t>
            </w:r>
            <w:r>
              <w:rPr>
                <w:rFonts w:ascii="Arial" w:hAnsi="Arial"/>
                <w:b w:val="0"/>
                <w:i w:val="0"/>
                <w:color w:val="333333"/>
                <w:sz w:val="20"/>
              </w:rPr>
              <w:t xml:space="preserve"> not supported; adjusted p 0.071</w:t>
            </w:r>
            <w:r>
              <w:br/>
            </w:r>
            <w:r>
              <w:rPr>
                <w:rFonts w:ascii="Arial" w:hAnsi="Arial"/>
                <w:b w:val="0"/>
                <w:i w:val="0"/>
                <w:color w:val="333333"/>
                <w:sz w:val="20"/>
              </w:rPr>
              <w:t>Part R-squared</w:t>
            </w:r>
            <w:r>
              <w:rPr>
                <w:rFonts w:ascii="Arial" w:hAnsi="Arial"/>
                <w:b w:val="0"/>
                <w:i w:val="0"/>
                <w:color w:val="333333"/>
                <w:sz w:val="20"/>
              </w:rPr>
              <w:t xml:space="preserve"> 4.7% (2.6% to 12.1%)</w:t>
            </w:r>
          </w:p>
        </w:tc>
        <w:tc>
          <w:tcPr>
            <w:tcW w:type="dxa" w:w="2937"/>
            <w:vAlign w:val="center"/>
            <w:shd w:fill="F6F6F6"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Ratio per 1 h: 1.206 (1.128 to 1.288)</w:t>
            </w:r>
            <w:r>
              <w:b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9.0% (3.7% to 15.7%)</w:t>
            </w:r>
          </w:p>
        </w:tc>
        <w:tc>
          <w:tcPr>
            <w:tcW w:type="dxa" w:w="3312"/>
            <w:vAlign w:val="center"/>
            <w:shd w:fill="F6F6F6"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21.5% (16.3% to 32.3%)</w:t>
            </w:r>
            <w:r>
              <w:br/>
            </w:r>
            <w:r>
              <w:rPr>
                <w:rFonts w:ascii="Arial" w:hAnsi="Arial"/>
                <w:b w:val="0"/>
                <w:i w:val="0"/>
                <w:color w:val="333333"/>
                <w:sz w:val="20"/>
              </w:rPr>
              <w:t>Conditional</w:t>
            </w:r>
            <w:r>
              <w:rPr>
                <w:rFonts w:ascii="Arial" w:hAnsi="Arial"/>
                <w:b w:val="0"/>
                <w:i w:val="0"/>
                <w:color w:val="333333"/>
                <w:sz w:val="20"/>
              </w:rPr>
              <w:t xml:space="preserve"> 50.1% (40.2% to 57.6%)</w:t>
            </w:r>
            <w:r>
              <w:br/>
            </w:r>
            <w:r>
              <w:rPr>
                <w:rFonts w:ascii="Arial" w:hAnsi="Arial"/>
                <w:b w:val="0"/>
                <w:i w:val="0"/>
                <w:color w:val="333333"/>
                <w:sz w:val="20"/>
              </w:rPr>
              <w:t>Participant-associated</w:t>
            </w:r>
            <w:r>
              <w:rPr>
                <w:rFonts w:ascii="Arial" w:hAnsi="Arial"/>
                <w:b w:val="0"/>
                <w:i w:val="0"/>
                <w:color w:val="333333"/>
                <w:sz w:val="20"/>
              </w:rPr>
              <w:t xml:space="preserve"> 28.6% (17.7% to 34.2%)</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Time above 250 lx melEDI during wake</w:t>
            </w:r>
          </w:p>
        </w:tc>
        <w:tc>
          <w:tcPr>
            <w:tcW w:type="dxa" w:w="2375"/>
            <w:vAlign w:val="center"/>
            <w:shd w:fill="F9F9F9" w:val="clear"/>
          </w:tcPr>
          <w:p>
            <w:pPr>
              <w:keepNext w:val="0"/>
              <w:keepLines/>
              <w:spacing w:before="0" w:after="0" w:line="240" w:lineRule="auto"/>
              <w:ind w:firstLine="0"/>
              <w:jc w:val="left"/>
            </w:pPr>
            <w:r/>
            <w:r>
              <w:rPr>
                <w:rFonts w:ascii="Arial" w:hAnsi="Arial"/>
                <w:b w:val="0"/>
                <w:i w:val="0"/>
                <w:color w:val="333333"/>
                <w:sz w:val="20"/>
              </w:rPr>
              <w:t>Waking time in recommended daytime light; relevant to alertness, entrainment, and subsequent sleep.</w:t>
            </w:r>
          </w:p>
        </w:tc>
        <w:tc>
          <w:tcPr>
            <w:tcW w:type="dxa" w:w="1750"/>
            <w:vAlign w:val="center"/>
            <w:shd w:fill="F9F9F9"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h</w:t>
            </w:r>
            <w:r>
              <w:br/>
            </w:r>
            <w:r>
              <w:rPr>
                <w:rFonts w:ascii="Arial" w:hAnsi="Arial"/>
                <w:b w:val="0"/>
                <w:i w:val="0"/>
                <w:color w:val="333333"/>
                <w:sz w:val="20"/>
              </w:rPr>
              <w:t>Median</w:t>
            </w:r>
            <w:r>
              <w:rPr>
                <w:rFonts w:ascii="Arial" w:hAnsi="Arial"/>
                <w:b w:val="0"/>
                <w:i w:val="0"/>
                <w:color w:val="333333"/>
                <w:sz w:val="20"/>
              </w:rPr>
              <w:t xml:space="preserve"> 2.417</w:t>
            </w:r>
            <w:r>
              <w:br/>
            </w:r>
            <w:r>
              <w:rPr>
                <w:rFonts w:ascii="Arial" w:hAnsi="Arial"/>
                <w:b w:val="0"/>
                <w:i w:val="0"/>
                <w:color w:val="333333"/>
                <w:sz w:val="20"/>
              </w:rPr>
              <w:t>IQR</w:t>
            </w:r>
            <w:r>
              <w:rPr>
                <w:rFonts w:ascii="Arial" w:hAnsi="Arial"/>
                <w:b w:val="0"/>
                <w:i w:val="0"/>
                <w:color w:val="333333"/>
                <w:sz w:val="20"/>
              </w:rPr>
              <w:t xml:space="preserve"> 0.850 to 4.617</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737</w:t>
            </w:r>
          </w:p>
        </w:tc>
        <w:tc>
          <w:tcPr>
            <w:tcW w:type="dxa" w:w="1375"/>
            <w:vAlign w:val="center"/>
            <w:shd w:fill="F9F9F9"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2" name="Picture 2" descr="Accepted site distribution thumbnail for Time above 250 lx melEDI during wak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81685" cy="312674"/>
                          </a:xfrm>
                          <a:prstGeom prst="rect"/>
                        </pic:spPr>
                      </pic:pic>
                    </a:graphicData>
                  </a:graphic>
                </wp:inline>
              </w:drawing>
            </w:r>
          </w:p>
        </w:tc>
        <w:tc>
          <w:tcPr>
            <w:tcW w:type="dxa" w:w="1875"/>
            <w:vAlign w:val="center"/>
            <w:shd w:fill="F9F9F9" w:val="clear"/>
          </w:tcPr>
          <w:p>
            <w:pPr>
              <w:keepNext w:val="0"/>
              <w:keepLines/>
              <w:spacing w:before="0" w:after="0" w:line="240" w:lineRule="auto"/>
              <w:ind w:firstLine="0"/>
              <w:jc w:val="left"/>
            </w:pPr>
            <w:r/>
            <w:r>
              <w:rPr>
                <w:rFonts w:ascii="Arial" w:hAnsi="Arial"/>
                <w:b/>
                <w:i w:val="0"/>
                <w:color w:val="333333"/>
                <w:sz w:val="20"/>
              </w:rPr>
              <w:t>FDR</w:t>
            </w:r>
            <w:r>
              <w:rPr>
                <w:rFonts w:ascii="Arial" w:hAnsi="Arial"/>
                <w:b/>
                <w:i w:val="0"/>
                <w:color w:val="333333"/>
                <w:sz w:val="20"/>
              </w:rPr>
              <w:t xml:space="preserve"> supported; adjusted p 0.007</w:t>
            </w:r>
            <w:r>
              <w:br/>
            </w:r>
            <w:r>
              <w:rPr>
                <w:rFonts w:ascii="Arial" w:hAnsi="Arial"/>
                <w:b w:val="0"/>
                <w:i w:val="0"/>
                <w:color w:val="333333"/>
                <w:sz w:val="20"/>
              </w:rPr>
              <w:t>Part R-squared</w:t>
            </w:r>
            <w:r>
              <w:rPr>
                <w:rFonts w:ascii="Arial" w:hAnsi="Arial"/>
                <w:b w:val="0"/>
                <w:i w:val="0"/>
                <w:color w:val="333333"/>
                <w:sz w:val="20"/>
              </w:rPr>
              <w:t xml:space="preserve"> 8.6% (5.2% to 18.7%)</w:t>
            </w:r>
          </w:p>
        </w:tc>
        <w:tc>
          <w:tcPr>
            <w:tcW w:type="dxa" w:w="2937"/>
            <w:vAlign w:val="center"/>
            <w:shd w:fill="F9F9F9"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Ratio per 1 h: 1.136 (1.073 to 1.202)</w:t>
            </w:r>
            <w:r>
              <w:b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6.4% (2.0% to 12.7%)</w:t>
            </w:r>
          </w:p>
        </w:tc>
        <w:tc>
          <w:tcPr>
            <w:tcW w:type="dxa" w:w="3312"/>
            <w:vAlign w:val="center"/>
            <w:shd w:fill="F9F9F9"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18.0% (12.9% to 29.1%)</w:t>
            </w:r>
            <w:r>
              <w:br/>
            </w:r>
            <w:r>
              <w:rPr>
                <w:rFonts w:ascii="Arial" w:hAnsi="Arial"/>
                <w:b w:val="0"/>
                <w:i w:val="0"/>
                <w:color w:val="333333"/>
                <w:sz w:val="20"/>
              </w:rPr>
              <w:t>Conditional</w:t>
            </w:r>
            <w:r>
              <w:rPr>
                <w:rFonts w:ascii="Arial" w:hAnsi="Arial"/>
                <w:b w:val="0"/>
                <w:i w:val="0"/>
                <w:color w:val="333333"/>
                <w:sz w:val="20"/>
              </w:rPr>
              <w:t xml:space="preserve"> 50.1% (41.6% to 58.0%)</w:t>
            </w:r>
            <w:r>
              <w:br/>
            </w:r>
            <w:r>
              <w:rPr>
                <w:rFonts w:ascii="Arial" w:hAnsi="Arial"/>
                <w:b w:val="0"/>
                <w:i w:val="0"/>
                <w:color w:val="333333"/>
                <w:sz w:val="20"/>
              </w:rPr>
              <w:t>Participant-associated</w:t>
            </w:r>
            <w:r>
              <w:rPr>
                <w:rFonts w:ascii="Arial" w:hAnsi="Arial"/>
                <w:b w:val="0"/>
                <w:i w:val="0"/>
                <w:color w:val="333333"/>
                <w:sz w:val="20"/>
              </w:rPr>
              <w:t xml:space="preserve"> 32.1% (20.7% to 36.7%)</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Time below 10 lx melEDI before sleep</w:t>
            </w:r>
          </w:p>
        </w:tc>
        <w:tc>
          <w:tcPr>
            <w:tcW w:type="dxa" w:w="2375"/>
            <w:vAlign w:val="center"/>
            <w:shd w:fill="F6F6F6" w:val="clear"/>
          </w:tcPr>
          <w:p>
            <w:pPr>
              <w:keepNext w:val="0"/>
              <w:keepLines/>
              <w:spacing w:before="0" w:after="0" w:line="240" w:lineRule="auto"/>
              <w:ind w:firstLine="0"/>
              <w:jc w:val="left"/>
            </w:pPr>
            <w:r/>
            <w:r>
              <w:rPr>
                <w:rFonts w:ascii="Arial" w:hAnsi="Arial"/>
                <w:b w:val="0"/>
                <w:i w:val="0"/>
                <w:color w:val="333333"/>
                <w:sz w:val="20"/>
              </w:rPr>
              <w:t>Low-light time before bed; limits evening melatonin suppression and circadian delay.</w:t>
            </w:r>
          </w:p>
        </w:tc>
        <w:tc>
          <w:tcPr>
            <w:tcW w:type="dxa" w:w="1750"/>
            <w:vAlign w:val="center"/>
            <w:shd w:fill="F6F6F6"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h</w:t>
            </w:r>
            <w:r>
              <w:br/>
            </w:r>
            <w:r>
              <w:rPr>
                <w:rFonts w:ascii="Arial" w:hAnsi="Arial"/>
                <w:b w:val="0"/>
                <w:i w:val="0"/>
                <w:color w:val="333333"/>
                <w:sz w:val="20"/>
              </w:rPr>
              <w:t>Median</w:t>
            </w:r>
            <w:r>
              <w:rPr>
                <w:rFonts w:ascii="Arial" w:hAnsi="Arial"/>
                <w:b w:val="0"/>
                <w:i w:val="0"/>
                <w:color w:val="333333"/>
                <w:sz w:val="20"/>
              </w:rPr>
              <w:t xml:space="preserve"> 1.883</w:t>
            </w:r>
            <w:r>
              <w:br/>
            </w:r>
            <w:r>
              <w:rPr>
                <w:rFonts w:ascii="Arial" w:hAnsi="Arial"/>
                <w:b w:val="0"/>
                <w:i w:val="0"/>
                <w:color w:val="333333"/>
                <w:sz w:val="20"/>
              </w:rPr>
              <w:t>IQR</w:t>
            </w:r>
            <w:r>
              <w:rPr>
                <w:rFonts w:ascii="Arial" w:hAnsi="Arial"/>
                <w:b w:val="0"/>
                <w:i w:val="0"/>
                <w:color w:val="333333"/>
                <w:sz w:val="20"/>
              </w:rPr>
              <w:t xml:space="preserve"> 1.025 to 2.583</w:t>
            </w:r>
            <w:r>
              <w:br/>
            </w:r>
            <w:r>
              <w:rPr>
                <w:rFonts w:ascii="Arial" w:hAnsi="Arial"/>
                <w:b w:val="0"/>
                <w:i w:val="0"/>
                <w:color w:val="333333"/>
                <w:sz w:val="20"/>
              </w:rPr>
              <w:t>Participants</w:t>
            </w:r>
            <w:r>
              <w:rPr>
                <w:rFonts w:ascii="Arial" w:hAnsi="Arial"/>
                <w:b w:val="0"/>
                <w:i w:val="0"/>
                <w:color w:val="333333"/>
                <w:sz w:val="20"/>
              </w:rPr>
              <w:t xml:space="preserve"> 139</w:t>
            </w:r>
            <w:r>
              <w:br/>
            </w:r>
            <w:r>
              <w:rPr>
                <w:rFonts w:ascii="Arial" w:hAnsi="Arial"/>
                <w:b w:val="0"/>
                <w:i w:val="0"/>
                <w:color w:val="333333"/>
                <w:sz w:val="20"/>
              </w:rPr>
              <w:t>Days</w:t>
            </w:r>
            <w:r>
              <w:rPr>
                <w:rFonts w:ascii="Arial" w:hAnsi="Arial"/>
                <w:b w:val="0"/>
                <w:i w:val="0"/>
                <w:color w:val="333333"/>
                <w:sz w:val="20"/>
              </w:rPr>
              <w:t xml:space="preserve"> 655</w:t>
            </w:r>
          </w:p>
        </w:tc>
        <w:tc>
          <w:tcPr>
            <w:tcW w:type="dxa" w:w="1375"/>
            <w:vAlign w:val="center"/>
            <w:shd w:fill="F6F6F6"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3" name="Picture 3" descr="Accepted site distribution thumbnail for Time below 10 lx melEDI before sleep."/>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81685" cy="312674"/>
                          </a:xfrm>
                          <a:prstGeom prst="rect"/>
                        </pic:spPr>
                      </pic:pic>
                    </a:graphicData>
                  </a:graphic>
                </wp:inline>
              </w:drawing>
            </w:r>
          </w:p>
        </w:tc>
        <w:tc>
          <w:tcPr>
            <w:tcW w:type="dxa" w:w="1875"/>
            <w:vAlign w:val="center"/>
            <w:shd w:fill="F6F6F6" w:val="clear"/>
          </w:tcPr>
          <w:p>
            <w:pPr>
              <w:keepNext w:val="0"/>
              <w:keepLines/>
              <w:spacing w:before="0" w:after="0" w:line="240" w:lineRule="auto"/>
              <w:ind w:firstLine="0"/>
              <w:jc w:val="left"/>
            </w:pPr>
            <w:r/>
            <w:r>
              <w:rPr>
                <w:rFonts w:ascii="Arial" w:hAnsi="Arial"/>
                <w:b/>
                <w:i w:val="0"/>
                <w:color w:val="333333"/>
                <w:sz w:val="20"/>
              </w:rPr>
              <w:t>FDR</w:t>
            </w:r>
            <w:r>
              <w:rPr>
                <w:rFonts w:ascii="Arial" w:hAnsi="Arial"/>
                <w:b/>
                <w:i w:val="0"/>
                <w:color w:val="333333"/>
                <w:sz w:val="20"/>
              </w:rPr>
              <w:t xml:space="preserve"> supported; adjusted p 0.049</w:t>
            </w:r>
            <w:r>
              <w:br/>
            </w:r>
            <w:r>
              <w:rPr>
                <w:rFonts w:ascii="Arial" w:hAnsi="Arial"/>
                <w:b w:val="0"/>
                <w:i w:val="0"/>
                <w:color w:val="333333"/>
                <w:sz w:val="20"/>
              </w:rPr>
              <w:t>Part R-squared</w:t>
            </w:r>
            <w:r>
              <w:rPr>
                <w:rFonts w:ascii="Arial" w:hAnsi="Arial"/>
                <w:b w:val="0"/>
                <w:i w:val="0"/>
                <w:color w:val="333333"/>
                <w:sz w:val="20"/>
              </w:rPr>
              <w:t xml:space="preserve"> 5.4% (3.2% to 13.4%)</w:t>
            </w:r>
          </w:p>
        </w:tc>
        <w:tc>
          <w:tcPr>
            <w:tcW w:type="dxa" w:w="2937"/>
            <w:vAlign w:val="center"/>
            <w:shd w:fill="F6F6F6"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Difference per 1 h: -0.134 (-0.201 to -0.066)</w:t>
            </w:r>
            <w:r>
              <w:b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4.9% (1.2% to 10.5%)</w:t>
            </w:r>
          </w:p>
        </w:tc>
        <w:tc>
          <w:tcPr>
            <w:tcW w:type="dxa" w:w="3312"/>
            <w:vAlign w:val="center"/>
            <w:shd w:fill="F6F6F6"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7.6% (4.6% to 17.2%)</w:t>
            </w:r>
            <w:r>
              <w:br/>
            </w:r>
            <w:r>
              <w:rPr>
                <w:rFonts w:ascii="Arial" w:hAnsi="Arial"/>
                <w:b w:val="0"/>
                <w:i w:val="0"/>
                <w:color w:val="333333"/>
                <w:sz w:val="20"/>
              </w:rPr>
              <w:t>Conditional</w:t>
            </w:r>
            <w:r>
              <w:rPr>
                <w:rFonts w:ascii="Arial" w:hAnsi="Arial"/>
                <w:b w:val="0"/>
                <w:i w:val="0"/>
                <w:color w:val="333333"/>
                <w:sz w:val="20"/>
              </w:rPr>
              <w:t xml:space="preserve"> 38.3% (31.8% to 48.5%)</w:t>
            </w:r>
            <w:r>
              <w:br/>
            </w:r>
            <w:r>
              <w:rPr>
                <w:rFonts w:ascii="Arial" w:hAnsi="Arial"/>
                <w:b w:val="0"/>
                <w:i w:val="0"/>
                <w:color w:val="333333"/>
                <w:sz w:val="20"/>
              </w:rPr>
              <w:t>Participant-associated</w:t>
            </w:r>
            <w:r>
              <w:rPr>
                <w:rFonts w:ascii="Arial" w:hAnsi="Arial"/>
                <w:b w:val="0"/>
                <w:i w:val="0"/>
                <w:color w:val="333333"/>
                <w:sz w:val="20"/>
              </w:rPr>
              <w:t xml:space="preserve"> 30.7% (21.7% to 38.1%)</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Time below 1 lx melEDI during sleep</w:t>
            </w:r>
          </w:p>
        </w:tc>
        <w:tc>
          <w:tcPr>
            <w:tcW w:type="dxa" w:w="2375"/>
            <w:vAlign w:val="center"/>
            <w:shd w:fill="F9F9F9" w:val="clear"/>
          </w:tcPr>
          <w:p>
            <w:pPr>
              <w:keepNext w:val="0"/>
              <w:keepLines/>
              <w:spacing w:before="0" w:after="0" w:line="240" w:lineRule="auto"/>
              <w:ind w:firstLine="0"/>
              <w:jc w:val="left"/>
            </w:pPr>
            <w:r/>
            <w:r>
              <w:rPr>
                <w:rFonts w:ascii="Arial" w:hAnsi="Arial"/>
                <w:b w:val="0"/>
                <w:i w:val="0"/>
                <w:color w:val="333333"/>
                <w:sz w:val="20"/>
              </w:rPr>
              <w:t>Darkness during sleep; supports nocturnal melatonin and an undisturbed sleep environment.</w:t>
            </w:r>
          </w:p>
        </w:tc>
        <w:tc>
          <w:tcPr>
            <w:tcW w:type="dxa" w:w="1750"/>
            <w:vAlign w:val="center"/>
            <w:shd w:fill="F9F9F9"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h</w:t>
            </w:r>
            <w:r>
              <w:br/>
            </w:r>
            <w:r>
              <w:rPr>
                <w:rFonts w:ascii="Arial" w:hAnsi="Arial"/>
                <w:b w:val="0"/>
                <w:i w:val="0"/>
                <w:color w:val="333333"/>
                <w:sz w:val="20"/>
              </w:rPr>
              <w:t>Median</w:t>
            </w:r>
            <w:r>
              <w:rPr>
                <w:rFonts w:ascii="Arial" w:hAnsi="Arial"/>
                <w:b w:val="0"/>
                <w:i w:val="0"/>
                <w:color w:val="333333"/>
                <w:sz w:val="20"/>
              </w:rPr>
              <w:t xml:space="preserve"> 7.133</w:t>
            </w:r>
            <w:r>
              <w:br/>
            </w:r>
            <w:r>
              <w:rPr>
                <w:rFonts w:ascii="Arial" w:hAnsi="Arial"/>
                <w:b w:val="0"/>
                <w:i w:val="0"/>
                <w:color w:val="333333"/>
                <w:sz w:val="20"/>
              </w:rPr>
              <w:t>IQR</w:t>
            </w:r>
            <w:r>
              <w:rPr>
                <w:rFonts w:ascii="Arial" w:hAnsi="Arial"/>
                <w:b w:val="0"/>
                <w:i w:val="0"/>
                <w:color w:val="333333"/>
                <w:sz w:val="20"/>
              </w:rPr>
              <w:t xml:space="preserve"> 5.967 to 8.250</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778</w:t>
            </w:r>
          </w:p>
        </w:tc>
        <w:tc>
          <w:tcPr>
            <w:tcW w:type="dxa" w:w="1375"/>
            <w:vAlign w:val="center"/>
            <w:shd w:fill="F9F9F9"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4" name="Picture 4" descr="Accepted site distribution thumbnail for Time below 1 lx melEDI during sleep."/>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81685" cy="312674"/>
                          </a:xfrm>
                          <a:prstGeom prst="rect"/>
                        </pic:spPr>
                      </pic:pic>
                    </a:graphicData>
                  </a:graphic>
                </wp:inline>
              </w:drawing>
            </w:r>
          </w:p>
        </w:tc>
        <w:tc>
          <w:tcPr>
            <w:tcW w:type="dxa" w:w="1875"/>
            <w:vAlign w:val="center"/>
            <w:shd w:fill="F9F9F9" w:val="clear"/>
          </w:tcPr>
          <w:p>
            <w:pPr>
              <w:keepNext w:val="0"/>
              <w:keepLines/>
              <w:spacing w:before="0" w:after="0" w:line="240" w:lineRule="auto"/>
              <w:ind w:firstLine="0"/>
              <w:jc w:val="left"/>
            </w:pPr>
            <w:r/>
            <w:r>
              <w:rPr>
                <w:rFonts w:ascii="Arial" w:hAnsi="Arial"/>
                <w:b w:val="0"/>
                <w:i w:val="0"/>
                <w:color w:val="333333"/>
                <w:sz w:val="20"/>
              </w:rPr>
              <w:t>FDR</w:t>
            </w:r>
            <w:r>
              <w:rPr>
                <w:rFonts w:ascii="Arial" w:hAnsi="Arial"/>
                <w:b w:val="0"/>
                <w:i w:val="0"/>
                <w:color w:val="333333"/>
                <w:sz w:val="20"/>
              </w:rPr>
              <w:t xml:space="preserve"> not supported; adjusted p 0.058</w:t>
            </w:r>
            <w:r>
              <w:br/>
            </w:r>
            <w:r>
              <w:rPr>
                <w:rFonts w:ascii="Arial" w:hAnsi="Arial"/>
                <w:b w:val="0"/>
                <w:i w:val="0"/>
                <w:color w:val="333333"/>
                <w:sz w:val="20"/>
              </w:rPr>
              <w:t>Part R-squared</w:t>
            </w:r>
            <w:r>
              <w:rPr>
                <w:rFonts w:ascii="Arial" w:hAnsi="Arial"/>
                <w:b w:val="0"/>
                <w:i w:val="0"/>
                <w:color w:val="333333"/>
                <w:sz w:val="20"/>
              </w:rPr>
              <w:t xml:space="preserve"> 5.4% (3.2% to 14.2%)</w:t>
            </w:r>
          </w:p>
        </w:tc>
        <w:tc>
          <w:tcPr>
            <w:tcW w:type="dxa" w:w="2937"/>
            <w:vAlign w:val="center"/>
            <w:shd w:fill="F9F9F9"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Ratio per 1 h: 0.987 (0.968 to 1.006)</w:t>
            </w:r>
            <w:r>
              <w:br/>
            </w:r>
            <w:r>
              <w:rPr>
                <w:rFonts w:ascii="Arial" w:hAnsi="Arial"/>
                <w:b w:val="0"/>
                <w:i w:val="0"/>
                <w:color w:val="333333"/>
                <w:sz w:val="20"/>
              </w:rPr>
              <w:t>FDR</w:t>
            </w:r>
            <w:r>
              <w:rPr>
                <w:rFonts w:ascii="Arial" w:hAnsi="Arial"/>
                <w:b w:val="0"/>
                <w:i w:val="0"/>
                <w:color w:val="333333"/>
                <w:sz w:val="20"/>
              </w:rPr>
              <w:t xml:space="preserve"> not supported; adjusted p 0.227</w:t>
            </w:r>
            <w:r>
              <w:br/>
            </w:r>
            <w:r>
              <w:rPr>
                <w:rFonts w:ascii="Arial" w:hAnsi="Arial"/>
                <w:b w:val="0"/>
                <w:i w:val="0"/>
                <w:color w:val="333333"/>
                <w:sz w:val="20"/>
              </w:rPr>
              <w:t>Part R-squared</w:t>
            </w:r>
            <w:r>
              <w:rPr>
                <w:rFonts w:ascii="Arial" w:hAnsi="Arial"/>
                <w:b w:val="0"/>
                <w:i w:val="0"/>
                <w:color w:val="333333"/>
                <w:sz w:val="20"/>
              </w:rPr>
              <w:t xml:space="preserve"> 0.6% (0.0% to 3.8%)</w:t>
            </w:r>
          </w:p>
        </w:tc>
        <w:tc>
          <w:tcPr>
            <w:tcW w:type="dxa" w:w="3312"/>
            <w:vAlign w:val="center"/>
            <w:shd w:fill="F9F9F9"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8.0% (5.1% to 18.2%)</w:t>
            </w:r>
            <w:r>
              <w:br/>
            </w:r>
            <w:r>
              <w:rPr>
                <w:rFonts w:ascii="Arial" w:hAnsi="Arial"/>
                <w:b w:val="0"/>
                <w:i w:val="0"/>
                <w:color w:val="333333"/>
                <w:sz w:val="20"/>
              </w:rPr>
              <w:t>Conditional</w:t>
            </w:r>
            <w:r>
              <w:rPr>
                <w:rFonts w:ascii="Arial" w:hAnsi="Arial"/>
                <w:b w:val="0"/>
                <w:i w:val="0"/>
                <w:color w:val="333333"/>
                <w:sz w:val="20"/>
              </w:rPr>
              <w:t xml:space="preserve"> 40.9% (32.8% to 48.5%)</w:t>
            </w:r>
            <w:r>
              <w:br/>
            </w:r>
            <w:r>
              <w:rPr>
                <w:rFonts w:ascii="Arial" w:hAnsi="Arial"/>
                <w:b w:val="0"/>
                <w:i w:val="0"/>
                <w:color w:val="333333"/>
                <w:sz w:val="20"/>
              </w:rPr>
              <w:t>Participant-associated</w:t>
            </w:r>
            <w:r>
              <w:rPr>
                <w:rFonts w:ascii="Arial" w:hAnsi="Arial"/>
                <w:b w:val="0"/>
                <w:i w:val="0"/>
                <w:color w:val="333333"/>
                <w:sz w:val="20"/>
              </w:rPr>
              <w:t xml:space="preserve"> 32.9% (22.0% to 37.8%)</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Longest period above 250 lx melEDI</w:t>
            </w:r>
          </w:p>
        </w:tc>
        <w:tc>
          <w:tcPr>
            <w:tcW w:type="dxa" w:w="2375"/>
            <w:vAlign w:val="center"/>
            <w:shd w:fill="F6F6F6" w:val="clear"/>
          </w:tcPr>
          <w:p>
            <w:pPr>
              <w:keepNext w:val="0"/>
              <w:keepLines/>
              <w:spacing w:before="0" w:after="0" w:line="240" w:lineRule="auto"/>
              <w:ind w:firstLine="0"/>
              <w:jc w:val="left"/>
            </w:pPr>
            <w:r/>
            <w:r>
              <w:rPr>
                <w:rFonts w:ascii="Arial" w:hAnsi="Arial"/>
                <w:b w:val="0"/>
                <w:i w:val="0"/>
                <w:color w:val="333333"/>
                <w:sz w:val="20"/>
              </w:rPr>
              <w:t>Longest sustained bright-light bout; captures continuity of daytime circadian stimulation.</w:t>
            </w:r>
          </w:p>
        </w:tc>
        <w:tc>
          <w:tcPr>
            <w:tcW w:type="dxa" w:w="1750"/>
            <w:vAlign w:val="center"/>
            <w:shd w:fill="F6F6F6"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h</w:t>
            </w:r>
            <w:r>
              <w:br/>
            </w:r>
            <w:r>
              <w:rPr>
                <w:rFonts w:ascii="Arial" w:hAnsi="Arial"/>
                <w:b w:val="0"/>
                <w:i w:val="0"/>
                <w:color w:val="333333"/>
                <w:sz w:val="20"/>
              </w:rPr>
              <w:t>Median</w:t>
            </w:r>
            <w:r>
              <w:rPr>
                <w:rFonts w:ascii="Arial" w:hAnsi="Arial"/>
                <w:b w:val="0"/>
                <w:i w:val="0"/>
                <w:color w:val="333333"/>
                <w:sz w:val="20"/>
              </w:rPr>
              <w:t xml:space="preserve"> 0.633</w:t>
            </w:r>
            <w:r>
              <w:br/>
            </w:r>
            <w:r>
              <w:rPr>
                <w:rFonts w:ascii="Arial" w:hAnsi="Arial"/>
                <w:b w:val="0"/>
                <w:i w:val="0"/>
                <w:color w:val="333333"/>
                <w:sz w:val="20"/>
              </w:rPr>
              <w:t>IQR</w:t>
            </w:r>
            <w:r>
              <w:rPr>
                <w:rFonts w:ascii="Arial" w:hAnsi="Arial"/>
                <w:b w:val="0"/>
                <w:i w:val="0"/>
                <w:color w:val="333333"/>
                <w:sz w:val="20"/>
              </w:rPr>
              <w:t xml:space="preserve"> 0.283 to 1.204</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816</w:t>
            </w:r>
          </w:p>
        </w:tc>
        <w:tc>
          <w:tcPr>
            <w:tcW w:type="dxa" w:w="1375"/>
            <w:vAlign w:val="center"/>
            <w:shd w:fill="F6F6F6"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5" name="Picture 5" descr="Accepted site distribution thumbnail for Longest period above 250 lx melEDI."/>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81685" cy="312674"/>
                          </a:xfrm>
                          <a:prstGeom prst="rect"/>
                        </pic:spPr>
                      </pic:pic>
                    </a:graphicData>
                  </a:graphic>
                </wp:inline>
              </w:drawing>
            </w:r>
          </w:p>
        </w:tc>
        <w:tc>
          <w:tcPr>
            <w:tcW w:type="dxa" w:w="1875"/>
            <w:vAlign w:val="center"/>
            <w:shd w:fill="F6F6F6" w:val="clear"/>
          </w:tcPr>
          <w:p>
            <w:pPr>
              <w:keepNext w:val="0"/>
              <w:keepLines/>
              <w:spacing w:before="0" w:after="0" w:line="240" w:lineRule="auto"/>
              <w:ind w:firstLine="0"/>
              <w:jc w:val="left"/>
            </w:pPr>
            <w:r/>
            <w:r>
              <w:rPr>
                <w:rFonts w:ascii="Arial" w:hAnsi="Arial"/>
                <w:b w:val="0"/>
                <w:i w:val="0"/>
                <w:color w:val="333333"/>
                <w:sz w:val="20"/>
              </w:rPr>
              <w:t>FDR</w:t>
            </w:r>
            <w:r>
              <w:rPr>
                <w:rFonts w:ascii="Arial" w:hAnsi="Arial"/>
                <w:b w:val="0"/>
                <w:i w:val="0"/>
                <w:color w:val="333333"/>
                <w:sz w:val="20"/>
              </w:rPr>
              <w:t xml:space="preserve"> not supported; adjusted p 0.398</w:t>
            </w:r>
            <w:r>
              <w:br/>
            </w:r>
            <w:r>
              <w:rPr>
                <w:rFonts w:ascii="Arial" w:hAnsi="Arial"/>
                <w:b w:val="0"/>
                <w:i w:val="0"/>
                <w:color w:val="333333"/>
                <w:sz w:val="20"/>
              </w:rPr>
              <w:t>Part R-squared</w:t>
            </w:r>
            <w:r>
              <w:rPr>
                <w:rFonts w:ascii="Arial" w:hAnsi="Arial"/>
                <w:b w:val="0"/>
                <w:i w:val="0"/>
                <w:color w:val="333333"/>
                <w:sz w:val="20"/>
              </w:rPr>
              <w:t xml:space="preserve"> 2.2% (1.4% to 8.1%)</w:t>
            </w:r>
          </w:p>
        </w:tc>
        <w:tc>
          <w:tcPr>
            <w:tcW w:type="dxa" w:w="2937"/>
            <w:vAlign w:val="center"/>
            <w:shd w:fill="F6F6F6"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Ratio per 1 h: 1.125 (1.065 to 1.187)</w:t>
            </w:r>
            <w:r>
              <w:b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4.9% (1.3% to 9.6%)</w:t>
            </w:r>
          </w:p>
        </w:tc>
        <w:tc>
          <w:tcPr>
            <w:tcW w:type="dxa" w:w="3312"/>
            <w:vAlign w:val="center"/>
            <w:shd w:fill="F6F6F6"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10.0% (6.1% to 17.9%)</w:t>
            </w:r>
            <w:r>
              <w:br/>
            </w:r>
            <w:r>
              <w:rPr>
                <w:rFonts w:ascii="Arial" w:hAnsi="Arial"/>
                <w:b w:val="0"/>
                <w:i w:val="0"/>
                <w:color w:val="333333"/>
                <w:sz w:val="20"/>
              </w:rPr>
              <w:t>Conditional</w:t>
            </w:r>
            <w:r>
              <w:rPr>
                <w:rFonts w:ascii="Arial" w:hAnsi="Arial"/>
                <w:b w:val="0"/>
                <w:i w:val="0"/>
                <w:color w:val="333333"/>
                <w:sz w:val="20"/>
              </w:rPr>
              <w:t xml:space="preserve"> 36.3% (29.9% to 45.3%)</w:t>
            </w:r>
            <w:r>
              <w:br/>
            </w:r>
            <w:r>
              <w:rPr>
                <w:rFonts w:ascii="Arial" w:hAnsi="Arial"/>
                <w:b w:val="0"/>
                <w:i w:val="0"/>
                <w:color w:val="333333"/>
                <w:sz w:val="20"/>
              </w:rPr>
              <w:t>Participant-associated</w:t>
            </w:r>
            <w:r>
              <w:rPr>
                <w:rFonts w:ascii="Arial" w:hAnsi="Arial"/>
                <w:b w:val="0"/>
                <w:i w:val="0"/>
                <w:color w:val="333333"/>
                <w:sz w:val="20"/>
              </w:rPr>
              <w:t xml:space="preserve"> 26.3% (18.7% to 33.0%)</w:t>
            </w:r>
          </w:p>
        </w:tc>
      </w:tr>
      <w:tr>
        <w:trPr>
          <w:cantSplit/>
        </w:trPr>
        <w:tc>
          <w:tcPr>
            <w:tcW w:type="dxa" w:w="15250"/>
            <w:gridSpan w:val="7"/>
            <w:vAlign w:val="center"/>
            <w:shd w:fill="FFFFFF" w:val="clear"/>
          </w:tcPr>
          <w:p>
            <w:pPr>
              <w:keepNext/>
              <w:keepLines/>
              <w:spacing w:before="0" w:after="0" w:line="240" w:lineRule="auto"/>
              <w:ind w:firstLine="0"/>
              <w:jc w:val="left"/>
            </w:pPr>
            <w:r/>
            <w:r>
              <w:rPr>
                <w:rFonts w:ascii="Arial" w:hAnsi="Arial"/>
                <w:b/>
                <w:i w:val="0"/>
                <w:color w:val="333333"/>
                <w:sz w:val="20"/>
              </w:rPr>
              <w:t>Dynamics</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Interdaily stability</w:t>
            </w:r>
          </w:p>
        </w:tc>
        <w:tc>
          <w:tcPr>
            <w:tcW w:type="dxa" w:w="2375"/>
            <w:vAlign w:val="center"/>
            <w:shd w:fill="F0F0F0" w:val="clear"/>
          </w:tcPr>
          <w:p>
            <w:pPr>
              <w:keepNext w:val="0"/>
              <w:keepLines/>
              <w:spacing w:before="0" w:after="0" w:line="240" w:lineRule="auto"/>
              <w:ind w:firstLine="0"/>
              <w:jc w:val="left"/>
            </w:pPr>
            <w:r/>
            <w:r>
              <w:rPr>
                <w:rFonts w:ascii="Arial" w:hAnsi="Arial"/>
                <w:b w:val="0"/>
                <w:i w:val="0"/>
                <w:color w:val="333333"/>
                <w:sz w:val="20"/>
              </w:rPr>
              <w:t>Day-to-day regularity of the light–dark pattern; higher regularity supports circadian stability.</w:t>
            </w:r>
          </w:p>
        </w:tc>
        <w:tc>
          <w:tcPr>
            <w:tcW w:type="dxa" w:w="1750"/>
            <w:vAlign w:val="center"/>
            <w:shd w:fill="F0F0F0"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dimensionless</w:t>
            </w:r>
            <w:r>
              <w:br/>
            </w:r>
            <w:r>
              <w:rPr>
                <w:rFonts w:ascii="Arial" w:hAnsi="Arial"/>
                <w:b w:val="0"/>
                <w:i w:val="0"/>
                <w:color w:val="333333"/>
                <w:sz w:val="20"/>
              </w:rPr>
              <w:t>Median</w:t>
            </w:r>
            <w:r>
              <w:rPr>
                <w:rFonts w:ascii="Arial" w:hAnsi="Arial"/>
                <w:b w:val="0"/>
                <w:i w:val="0"/>
                <w:color w:val="333333"/>
                <w:sz w:val="20"/>
              </w:rPr>
              <w:t xml:space="preserve"> 0.308</w:t>
            </w:r>
            <w:r>
              <w:br/>
            </w:r>
            <w:r>
              <w:rPr>
                <w:rFonts w:ascii="Arial" w:hAnsi="Arial"/>
                <w:b w:val="0"/>
                <w:i w:val="0"/>
                <w:color w:val="333333"/>
                <w:sz w:val="20"/>
              </w:rPr>
              <w:t>IQR</w:t>
            </w:r>
            <w:r>
              <w:rPr>
                <w:rFonts w:ascii="Arial" w:hAnsi="Arial"/>
                <w:b w:val="0"/>
                <w:i w:val="0"/>
                <w:color w:val="333333"/>
                <w:sz w:val="20"/>
              </w:rPr>
              <w:t xml:space="preserve"> 0.248 to 0.380</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816</w:t>
            </w:r>
          </w:p>
        </w:tc>
        <w:tc>
          <w:tcPr>
            <w:tcW w:type="dxa" w:w="1375"/>
            <w:vAlign w:val="center"/>
            <w:shd w:fill="F0F0F0"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6" name="Picture 6" descr="Accepted site distribution thumbnail for Interdaily stabilit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81685" cy="312674"/>
                          </a:xfrm>
                          <a:prstGeom prst="rect"/>
                        </pic:spPr>
                      </pic:pic>
                    </a:graphicData>
                  </a:graphic>
                </wp:inline>
              </w:drawing>
            </w:r>
          </w:p>
        </w:tc>
        <w:tc>
          <w:tcPr>
            <w:tcW w:type="dxa" w:w="1875"/>
            <w:vAlign w:val="center"/>
            <w:shd w:fill="F0F0F0" w:val="clear"/>
          </w:tcPr>
          <w:p>
            <w:pPr>
              <w:keepNext w:val="0"/>
              <w:keepLines/>
              <w:spacing w:before="0" w:after="0" w:line="240" w:lineRule="auto"/>
              <w:ind w:firstLine="0"/>
              <w:jc w:val="left"/>
            </w:pPr>
            <w:r/>
            <w:r>
              <w:rPr>
                <w:rFonts w:ascii="Arial" w:hAnsi="Arial"/>
                <w:b w:val="0"/>
                <w:i w:val="0"/>
                <w:color w:val="333333"/>
                <w:sz w:val="20"/>
              </w:rPr>
              <w:t>FDR</w:t>
            </w:r>
            <w:r>
              <w:rPr>
                <w:rFonts w:ascii="Arial" w:hAnsi="Arial"/>
                <w:b w:val="0"/>
                <w:i w:val="0"/>
                <w:color w:val="333333"/>
                <w:sz w:val="20"/>
              </w:rPr>
              <w:t xml:space="preserve"> not supported; adjusted p 0.228</w:t>
            </w:r>
            <w:r>
              <w:br/>
            </w:r>
            <w:r>
              <w:rPr>
                <w:rFonts w:ascii="Arial" w:hAnsi="Arial"/>
                <w:b w:val="0"/>
                <w:i w:val="0"/>
                <w:color w:val="333333"/>
                <w:sz w:val="20"/>
              </w:rPr>
              <w:t>Part R-squared</w:t>
            </w:r>
            <w:r>
              <w:rPr>
                <w:rFonts w:ascii="Arial" w:hAnsi="Arial"/>
                <w:b w:val="0"/>
                <w:i w:val="0"/>
                <w:color w:val="333333"/>
                <w:sz w:val="20"/>
              </w:rPr>
              <w:t xml:space="preserve"> 6.9% (4.1% to 20.4%)</w:t>
            </w:r>
          </w:p>
        </w:tc>
        <w:tc>
          <w:tcPr>
            <w:tcW w:type="dxa" w:w="2937"/>
            <w:vAlign w:val="center"/>
            <w:shd w:fill="F0F0F0"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Odds ratio per 1 h: 0.983 (0.944 to 1.024)</w:t>
            </w:r>
            <w:r>
              <w:br/>
            </w:r>
            <w:r>
              <w:rPr>
                <w:rFonts w:ascii="Arial" w:hAnsi="Arial"/>
                <w:b w:val="0"/>
                <w:i w:val="0"/>
                <w:color w:val="333333"/>
                <w:sz w:val="20"/>
              </w:rPr>
              <w:t>FDR</w:t>
            </w:r>
            <w:r>
              <w:rPr>
                <w:rFonts w:ascii="Arial" w:hAnsi="Arial"/>
                <w:b w:val="0"/>
                <w:i w:val="0"/>
                <w:color w:val="333333"/>
                <w:sz w:val="20"/>
              </w:rPr>
              <w:t xml:space="preserve"> not supported; adjusted p 0.401</w:t>
            </w:r>
            <w:r>
              <w:br/>
            </w:r>
            <w:r>
              <w:rPr>
                <w:rFonts w:ascii="Arial" w:hAnsi="Arial"/>
                <w:b w:val="0"/>
                <w:i w:val="0"/>
                <w:color w:val="333333"/>
                <w:sz w:val="20"/>
              </w:rPr>
              <w:t>Part R-squared</w:t>
            </w:r>
            <w:r>
              <w:rPr>
                <w:rFonts w:ascii="Arial" w:hAnsi="Arial"/>
                <w:b w:val="0"/>
                <w:i w:val="0"/>
                <w:color w:val="333333"/>
                <w:sz w:val="20"/>
              </w:rPr>
              <w:t xml:space="preserve"> 0.4% (0.0% to 4.6%)</w:t>
            </w:r>
          </w:p>
        </w:tc>
        <w:tc>
          <w:tcPr>
            <w:tcW w:type="dxa" w:w="3312"/>
            <w:vAlign w:val="center"/>
            <w:shd w:fill="F0F0F0"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15.4% (10.4% to 30.8%)</w:t>
            </w:r>
            <w:r>
              <w:br/>
            </w:r>
            <w:r>
              <w:rPr>
                <w:rFonts w:ascii="Arial" w:hAnsi="Arial"/>
                <w:b w:val="0"/>
                <w:i w:val="0"/>
                <w:color w:val="333333"/>
                <w:sz w:val="20"/>
              </w:rPr>
              <w:t>Conditional</w:t>
            </w:r>
            <w:r>
              <w:rPr>
                <w:rFonts w:ascii="Arial" w:hAnsi="Arial"/>
                <w:b w:val="0"/>
                <w:i w:val="0"/>
                <w:color w:val="333333"/>
                <w:sz w:val="20"/>
              </w:rPr>
              <w:t xml:space="preserve"> 15.4% (10.4% to 30.8%)</w:t>
            </w:r>
            <w:r>
              <w:br/>
            </w:r>
            <w:r>
              <w:rPr>
                <w:rFonts w:ascii="Arial" w:hAnsi="Arial"/>
                <w:b w:val="0"/>
                <w:i w:val="0"/>
                <w:color w:val="333333"/>
                <w:sz w:val="20"/>
              </w:rPr>
              <w:t>Participant-associated</w:t>
            </w:r>
            <w:r>
              <w:rPr>
                <w:rFonts w:ascii="Arial" w:hAnsi="Arial"/>
                <w:b w:val="0"/>
                <w:i w:val="0"/>
                <w:color w:val="333333"/>
                <w:sz w:val="20"/>
              </w:rPr>
              <w:t xml:space="preserve"> Not available</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Intradaily variability</w:t>
            </w:r>
          </w:p>
        </w:tc>
        <w:tc>
          <w:tcPr>
            <w:tcW w:type="dxa" w:w="2375"/>
            <w:vAlign w:val="center"/>
            <w:shd w:fill="FFFFFF" w:val="clear"/>
          </w:tcPr>
          <w:p>
            <w:pPr>
              <w:keepNext w:val="0"/>
              <w:keepLines/>
              <w:spacing w:before="0" w:after="0" w:line="240" w:lineRule="auto"/>
              <w:ind w:firstLine="0"/>
              <w:jc w:val="left"/>
            </w:pPr>
            <w:r/>
            <w:r>
              <w:rPr>
                <w:rFonts w:ascii="Arial" w:hAnsi="Arial"/>
                <w:b w:val="0"/>
                <w:i w:val="0"/>
                <w:color w:val="333333"/>
                <w:sz w:val="20"/>
              </w:rPr>
              <w:t>Within-day fragmentation of light exposure; higher values indicate less consolidated light–dark input.</w:t>
            </w:r>
          </w:p>
        </w:tc>
        <w:tc>
          <w:tcPr>
            <w:tcW w:type="dxa" w:w="1750"/>
            <w:vAlign w:val="center"/>
            <w:shd w:fill="FFFFFF"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dimensionless</w:t>
            </w:r>
            <w:r>
              <w:br/>
            </w:r>
            <w:r>
              <w:rPr>
                <w:rFonts w:ascii="Arial" w:hAnsi="Arial"/>
                <w:b w:val="0"/>
                <w:i w:val="0"/>
                <w:color w:val="333333"/>
                <w:sz w:val="20"/>
              </w:rPr>
              <w:t>Median</w:t>
            </w:r>
            <w:r>
              <w:rPr>
                <w:rFonts w:ascii="Arial" w:hAnsi="Arial"/>
                <w:b w:val="0"/>
                <w:i w:val="0"/>
                <w:color w:val="333333"/>
                <w:sz w:val="20"/>
              </w:rPr>
              <w:t xml:space="preserve"> 1.253</w:t>
            </w:r>
            <w:r>
              <w:br/>
            </w:r>
            <w:r>
              <w:rPr>
                <w:rFonts w:ascii="Arial" w:hAnsi="Arial"/>
                <w:b w:val="0"/>
                <w:i w:val="0"/>
                <w:color w:val="333333"/>
                <w:sz w:val="20"/>
              </w:rPr>
              <w:t>IQR</w:t>
            </w:r>
            <w:r>
              <w:rPr>
                <w:rFonts w:ascii="Arial" w:hAnsi="Arial"/>
                <w:b w:val="0"/>
                <w:i w:val="0"/>
                <w:color w:val="333333"/>
                <w:sz w:val="20"/>
              </w:rPr>
              <w:t xml:space="preserve"> 0.930 to 1.502</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816</w:t>
            </w:r>
          </w:p>
        </w:tc>
        <w:tc>
          <w:tcPr>
            <w:tcW w:type="dxa" w:w="1375"/>
            <w:vAlign w:val="center"/>
            <w:shd w:fill="FFFFFF"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7" name="Picture 7" descr="Accepted site distribution thumbnail for Intradaily variability."/>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81685" cy="312674"/>
                          </a:xfrm>
                          <a:prstGeom prst="rect"/>
                        </pic:spPr>
                      </pic:pic>
                    </a:graphicData>
                  </a:graphic>
                </wp:inline>
              </w:drawing>
            </w:r>
          </w:p>
        </w:tc>
        <w:tc>
          <w:tcPr>
            <w:tcW w:type="dxa" w:w="1875"/>
            <w:vAlign w:val="center"/>
            <w:shd w:fill="FFFFFF" w:val="clear"/>
          </w:tcPr>
          <w:p>
            <w:pPr>
              <w:keepNext w:val="0"/>
              <w:keepLines/>
              <w:spacing w:before="0" w:after="0" w:line="240" w:lineRule="auto"/>
              <w:ind w:firstLine="0"/>
              <w:jc w:val="left"/>
            </w:pPr>
            <w:r/>
            <w:r>
              <w:rPr>
                <w:rFonts w:ascii="Arial" w:hAnsi="Arial"/>
                <w:b w:val="0"/>
                <w:i w:val="0"/>
                <w:color w:val="333333"/>
                <w:sz w:val="20"/>
              </w:rPr>
              <w:t>FDR</w:t>
            </w:r>
            <w:r>
              <w:rPr>
                <w:rFonts w:ascii="Arial" w:hAnsi="Arial"/>
                <w:b w:val="0"/>
                <w:i w:val="0"/>
                <w:color w:val="333333"/>
                <w:sz w:val="20"/>
              </w:rPr>
              <w:t xml:space="preserve"> not supported; adjusted p 0.483</w:t>
            </w:r>
            <w:r>
              <w:br/>
            </w:r>
            <w:r>
              <w:rPr>
                <w:rFonts w:ascii="Arial" w:hAnsi="Arial"/>
                <w:b w:val="0"/>
                <w:i w:val="0"/>
                <w:color w:val="333333"/>
                <w:sz w:val="20"/>
              </w:rPr>
              <w:t>Part R-squared</w:t>
            </w:r>
            <w:r>
              <w:rPr>
                <w:rFonts w:ascii="Arial" w:hAnsi="Arial"/>
                <w:b w:val="0"/>
                <w:i w:val="0"/>
                <w:color w:val="333333"/>
                <w:sz w:val="20"/>
              </w:rPr>
              <w:t xml:space="preserve"> 5.1% (3.8% to 18.7%)</w:t>
            </w:r>
          </w:p>
        </w:tc>
        <w:tc>
          <w:tcPr>
            <w:tcW w:type="dxa" w:w="2937"/>
            <w:vAlign w:val="center"/>
            <w:shd w:fill="FFFFFF"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Difference per 1 h: -0.019 (-0.056 to 0.019)</w:t>
            </w:r>
            <w:r>
              <w:br/>
            </w:r>
            <w:r>
              <w:rPr>
                <w:rFonts w:ascii="Arial" w:hAnsi="Arial"/>
                <w:b w:val="0"/>
                <w:i w:val="0"/>
                <w:color w:val="333333"/>
                <w:sz w:val="20"/>
              </w:rPr>
              <w:t>FDR</w:t>
            </w:r>
            <w:r>
              <w:rPr>
                <w:rFonts w:ascii="Arial" w:hAnsi="Arial"/>
                <w:b w:val="0"/>
                <w:i w:val="0"/>
                <w:color w:val="333333"/>
                <w:sz w:val="20"/>
              </w:rPr>
              <w:t xml:space="preserve"> not supported; adjusted p 0.327</w:t>
            </w:r>
            <w:r>
              <w:br/>
            </w:r>
            <w:r>
              <w:rPr>
                <w:rFonts w:ascii="Arial" w:hAnsi="Arial"/>
                <w:b w:val="0"/>
                <w:i w:val="0"/>
                <w:color w:val="333333"/>
                <w:sz w:val="20"/>
              </w:rPr>
              <w:t>Part R-squared</w:t>
            </w:r>
            <w:r>
              <w:rPr>
                <w:rFonts w:ascii="Arial" w:hAnsi="Arial"/>
                <w:b w:val="0"/>
                <w:i w:val="0"/>
                <w:color w:val="333333"/>
                <w:sz w:val="20"/>
              </w:rPr>
              <w:t xml:space="preserve"> 0.7% (0.0% to 5.7%)</w:t>
            </w:r>
          </w:p>
        </w:tc>
        <w:tc>
          <w:tcPr>
            <w:tcW w:type="dxa" w:w="3312"/>
            <w:vAlign w:val="center"/>
            <w:shd w:fill="FFFFFF"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5.9% (4.6% to 21.2%)</w:t>
            </w:r>
            <w:r>
              <w:br/>
            </w:r>
            <w:r>
              <w:rPr>
                <w:rFonts w:ascii="Arial" w:hAnsi="Arial"/>
                <w:b w:val="0"/>
                <w:i w:val="0"/>
                <w:color w:val="333333"/>
                <w:sz w:val="20"/>
              </w:rPr>
              <w:t>Conditional</w:t>
            </w:r>
            <w:r>
              <w:rPr>
                <w:rFonts w:ascii="Arial" w:hAnsi="Arial"/>
                <w:b w:val="0"/>
                <w:i w:val="0"/>
                <w:color w:val="333333"/>
                <w:sz w:val="20"/>
              </w:rPr>
              <w:t xml:space="preserve"> 5.9% (4.6% to 21.2%)</w:t>
            </w:r>
            <w:r>
              <w:br/>
            </w:r>
            <w:r>
              <w:rPr>
                <w:rFonts w:ascii="Arial" w:hAnsi="Arial"/>
                <w:b w:val="0"/>
                <w:i w:val="0"/>
                <w:color w:val="333333"/>
                <w:sz w:val="20"/>
              </w:rPr>
              <w:t>Participant-associated</w:t>
            </w:r>
            <w:r>
              <w:rPr>
                <w:rFonts w:ascii="Arial" w:hAnsi="Arial"/>
                <w:b w:val="0"/>
                <w:i w:val="0"/>
                <w:color w:val="333333"/>
                <w:sz w:val="20"/>
              </w:rPr>
              <w:t xml:space="preserve"> Not available</w:t>
            </w:r>
          </w:p>
        </w:tc>
      </w:tr>
      <w:tr>
        <w:trPr>
          <w:cantSplit/>
        </w:trPr>
        <w:tc>
          <w:tcPr>
            <w:tcW w:type="dxa" w:w="15250"/>
            <w:gridSpan w:val="7"/>
            <w:vAlign w:val="center"/>
            <w:shd w:fill="FFFFFF" w:val="clear"/>
          </w:tcPr>
          <w:p>
            <w:pPr>
              <w:keepNext/>
              <w:keepLines/>
              <w:spacing w:before="0" w:after="0" w:line="240" w:lineRule="auto"/>
              <w:ind w:firstLine="0"/>
              <w:jc w:val="left"/>
            </w:pPr>
            <w:r/>
            <w:r>
              <w:rPr>
                <w:rFonts w:ascii="Arial" w:hAnsi="Arial"/>
                <w:b/>
                <w:i w:val="0"/>
                <w:color w:val="333333"/>
                <w:sz w:val="20"/>
              </w:rPr>
              <w:t>Exposure history</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melEDI dose</w:t>
            </w:r>
          </w:p>
        </w:tc>
        <w:tc>
          <w:tcPr>
            <w:tcW w:type="dxa" w:w="2375"/>
            <w:vAlign w:val="center"/>
            <w:shd w:fill="F9F9F9" w:val="clear"/>
          </w:tcPr>
          <w:p>
            <w:pPr>
              <w:keepNext w:val="0"/>
              <w:keepLines/>
              <w:spacing w:before="0" w:after="0" w:line="240" w:lineRule="auto"/>
              <w:ind w:firstLine="0"/>
              <w:jc w:val="left"/>
            </w:pPr>
            <w:r/>
            <w:r>
              <w:rPr>
                <w:rFonts w:ascii="Arial" w:hAnsi="Arial"/>
                <w:b w:val="0"/>
                <w:i w:val="0"/>
                <w:color w:val="333333"/>
                <w:sz w:val="20"/>
              </w:rPr>
              <w:t>Intensity–duration-weighted melanopic exposure; summarizes cumulative non-visual retinal light input.</w:t>
            </w:r>
          </w:p>
        </w:tc>
        <w:tc>
          <w:tcPr>
            <w:tcW w:type="dxa" w:w="1750"/>
            <w:vAlign w:val="center"/>
            <w:shd w:fill="F9F9F9"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klx·h</w:t>
            </w:r>
            <w:r>
              <w:br/>
            </w:r>
            <w:r>
              <w:rPr>
                <w:rFonts w:ascii="Arial" w:hAnsi="Arial"/>
                <w:b w:val="0"/>
                <w:i w:val="0"/>
                <w:color w:val="333333"/>
                <w:sz w:val="20"/>
              </w:rPr>
              <w:t>Median</w:t>
            </w:r>
            <w:r>
              <w:rPr>
                <w:rFonts w:ascii="Arial" w:hAnsi="Arial"/>
                <w:b w:val="0"/>
                <w:i w:val="0"/>
                <w:color w:val="333333"/>
                <w:sz w:val="20"/>
              </w:rPr>
              <w:t xml:space="preserve"> 4.960</w:t>
            </w:r>
            <w:r>
              <w:br/>
            </w:r>
            <w:r>
              <w:rPr>
                <w:rFonts w:ascii="Arial" w:hAnsi="Arial"/>
                <w:b w:val="0"/>
                <w:i w:val="0"/>
                <w:color w:val="333333"/>
                <w:sz w:val="20"/>
              </w:rPr>
              <w:t>IQR</w:t>
            </w:r>
            <w:r>
              <w:rPr>
                <w:rFonts w:ascii="Arial" w:hAnsi="Arial"/>
                <w:b w:val="0"/>
                <w:i w:val="0"/>
                <w:color w:val="333333"/>
                <w:sz w:val="20"/>
              </w:rPr>
              <w:t xml:space="preserve"> 1.936 to 12.313</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761</w:t>
            </w:r>
          </w:p>
        </w:tc>
        <w:tc>
          <w:tcPr>
            <w:tcW w:type="dxa" w:w="1375"/>
            <w:vAlign w:val="center"/>
            <w:shd w:fill="F9F9F9"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8" name="Picture 8" descr="Accepted site distribution thumbnail for melEDI dose."/>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81685" cy="312674"/>
                          </a:xfrm>
                          <a:prstGeom prst="rect"/>
                        </pic:spPr>
                      </pic:pic>
                    </a:graphicData>
                  </a:graphic>
                </wp:inline>
              </w:drawing>
            </w:r>
          </w:p>
        </w:tc>
        <w:tc>
          <w:tcPr>
            <w:tcW w:type="dxa" w:w="1875"/>
            <w:vAlign w:val="center"/>
            <w:shd w:fill="F9F9F9" w:val="clear"/>
          </w:tcPr>
          <w:p>
            <w:pPr>
              <w:keepNext w:val="0"/>
              <w:keepLines/>
              <w:spacing w:before="0" w:after="0" w:line="240" w:lineRule="auto"/>
              <w:ind w:firstLine="0"/>
              <w:jc w:val="left"/>
            </w:pPr>
            <w:r/>
            <w:r>
              <w:rPr>
                <w:rFonts w:ascii="Arial" w:hAnsi="Arial"/>
                <w:b w:val="0"/>
                <w:i w:val="0"/>
                <w:color w:val="333333"/>
                <w:sz w:val="20"/>
              </w:rPr>
              <w:t>FDR</w:t>
            </w:r>
            <w:r>
              <w:rPr>
                <w:rFonts w:ascii="Arial" w:hAnsi="Arial"/>
                <w:b w:val="0"/>
                <w:i w:val="0"/>
                <w:color w:val="333333"/>
                <w:sz w:val="20"/>
              </w:rPr>
              <w:t xml:space="preserve"> not supported; adjusted p 0.209</w:t>
            </w:r>
            <w:r>
              <w:br/>
            </w:r>
            <w:r>
              <w:rPr>
                <w:rFonts w:ascii="Arial" w:hAnsi="Arial"/>
                <w:b w:val="0"/>
                <w:i w:val="0"/>
                <w:color w:val="333333"/>
                <w:sz w:val="20"/>
              </w:rPr>
              <w:t>Part R-squared</w:t>
            </w:r>
            <w:r>
              <w:rPr>
                <w:rFonts w:ascii="Arial" w:hAnsi="Arial"/>
                <w:b w:val="0"/>
                <w:i w:val="0"/>
                <w:color w:val="333333"/>
                <w:sz w:val="20"/>
              </w:rPr>
              <w:t xml:space="preserve"> 2.8% (1.7% to 8.6%)</w:t>
            </w:r>
          </w:p>
        </w:tc>
        <w:tc>
          <w:tcPr>
            <w:tcW w:type="dxa" w:w="2937"/>
            <w:vAlign w:val="center"/>
            <w:shd w:fill="F9F9F9"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Ratio per 1 h: 1.275 (1.169 to 1.391)</w:t>
            </w:r>
            <w:r>
              <w:b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7.5% (3.1% to 12.9%)</w:t>
            </w:r>
          </w:p>
        </w:tc>
        <w:tc>
          <w:tcPr>
            <w:tcW w:type="dxa" w:w="3312"/>
            <w:vAlign w:val="center"/>
            <w:shd w:fill="F9F9F9"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11.8% (7.7% to 19.7%)</w:t>
            </w:r>
            <w:r>
              <w:br/>
            </w:r>
            <w:r>
              <w:rPr>
                <w:rFonts w:ascii="Arial" w:hAnsi="Arial"/>
                <w:b w:val="0"/>
                <w:i w:val="0"/>
                <w:color w:val="333333"/>
                <w:sz w:val="20"/>
              </w:rPr>
              <w:t>Conditional</w:t>
            </w:r>
            <w:r>
              <w:rPr>
                <w:rFonts w:ascii="Arial" w:hAnsi="Arial"/>
                <w:b w:val="0"/>
                <w:i w:val="0"/>
                <w:color w:val="333333"/>
                <w:sz w:val="20"/>
              </w:rPr>
              <w:t xml:space="preserve"> 33.8% (26.7% to 42.8%)</w:t>
            </w:r>
            <w:r>
              <w:br/>
            </w:r>
            <w:r>
              <w:rPr>
                <w:rFonts w:ascii="Arial" w:hAnsi="Arial"/>
                <w:b w:val="0"/>
                <w:i w:val="0"/>
                <w:color w:val="333333"/>
                <w:sz w:val="20"/>
              </w:rPr>
              <w:t>Participant-associated</w:t>
            </w:r>
            <w:r>
              <w:rPr>
                <w:rFonts w:ascii="Arial" w:hAnsi="Arial"/>
                <w:b w:val="0"/>
                <w:i w:val="0"/>
                <w:color w:val="333333"/>
                <w:sz w:val="20"/>
              </w:rPr>
              <w:t xml:space="preserve"> 22.0% (14.5% to 28.7%)</w:t>
            </w:r>
          </w:p>
        </w:tc>
      </w:tr>
      <w:tr>
        <w:trPr>
          <w:cantSplit/>
        </w:trPr>
        <w:tc>
          <w:tcPr>
            <w:tcW w:type="dxa" w:w="15250"/>
            <w:gridSpan w:val="7"/>
            <w:vAlign w:val="center"/>
            <w:shd w:fill="FFFFFF" w:val="clear"/>
          </w:tcPr>
          <w:p>
            <w:pPr>
              <w:keepNext/>
              <w:keepLines/>
              <w:spacing w:before="0" w:after="0" w:line="240" w:lineRule="auto"/>
              <w:ind w:firstLine="0"/>
              <w:jc w:val="left"/>
            </w:pPr>
            <w:r/>
            <w:r>
              <w:rPr>
                <w:rFonts w:ascii="Arial" w:hAnsi="Arial"/>
                <w:b/>
                <w:i w:val="0"/>
                <w:color w:val="333333"/>
                <w:sz w:val="20"/>
              </w:rPr>
              <w:t>Level</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Mean melEDI</w:t>
            </w:r>
          </w:p>
        </w:tc>
        <w:tc>
          <w:tcPr>
            <w:tcW w:type="dxa" w:w="2375"/>
            <w:vAlign w:val="center"/>
            <w:shd w:fill="FFFFFF" w:val="clear"/>
          </w:tcPr>
          <w:p>
            <w:pPr>
              <w:keepNext w:val="0"/>
              <w:keepLines/>
              <w:spacing w:before="0" w:after="0" w:line="240" w:lineRule="auto"/>
              <w:ind w:firstLine="0"/>
              <w:jc w:val="left"/>
            </w:pPr>
            <w:r/>
            <w:r>
              <w:rPr>
                <w:rFonts w:ascii="Arial" w:hAnsi="Arial"/>
                <w:b w:val="0"/>
                <w:i w:val="0"/>
                <w:color w:val="333333"/>
                <w:sz w:val="20"/>
              </w:rPr>
              <w:t>Geometric average of daily melEDI values, including zeros; summarizes overall exposure while reducing peak influence.</w:t>
            </w:r>
          </w:p>
        </w:tc>
        <w:tc>
          <w:tcPr>
            <w:tcW w:type="dxa" w:w="1750"/>
            <w:vAlign w:val="center"/>
            <w:shd w:fill="FFFFFF"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lx</w:t>
            </w:r>
            <w:r>
              <w:br/>
            </w:r>
            <w:r>
              <w:rPr>
                <w:rFonts w:ascii="Arial" w:hAnsi="Arial"/>
                <w:b w:val="0"/>
                <w:i w:val="0"/>
                <w:color w:val="333333"/>
                <w:sz w:val="20"/>
              </w:rPr>
              <w:t>Median</w:t>
            </w:r>
            <w:r>
              <w:rPr>
                <w:rFonts w:ascii="Arial" w:hAnsi="Arial"/>
                <w:b w:val="0"/>
                <w:i w:val="0"/>
                <w:color w:val="333333"/>
                <w:sz w:val="20"/>
              </w:rPr>
              <w:t xml:space="preserve"> 5.154</w:t>
            </w:r>
            <w:r>
              <w:br/>
            </w:r>
            <w:r>
              <w:rPr>
                <w:rFonts w:ascii="Arial" w:hAnsi="Arial"/>
                <w:b w:val="0"/>
                <w:i w:val="0"/>
                <w:color w:val="333333"/>
                <w:sz w:val="20"/>
              </w:rPr>
              <w:t>IQR</w:t>
            </w:r>
            <w:r>
              <w:rPr>
                <w:rFonts w:ascii="Arial" w:hAnsi="Arial"/>
                <w:b w:val="0"/>
                <w:i w:val="0"/>
                <w:color w:val="333333"/>
                <w:sz w:val="20"/>
              </w:rPr>
              <w:t xml:space="preserve"> 2.831 to 9.225</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816</w:t>
            </w:r>
          </w:p>
        </w:tc>
        <w:tc>
          <w:tcPr>
            <w:tcW w:type="dxa" w:w="1375"/>
            <w:vAlign w:val="center"/>
            <w:shd w:fill="FFFFFF"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9" name="Picture 9" descr="Accepted site distribution thumbnail for Mean melEDI."/>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81685" cy="312674"/>
                          </a:xfrm>
                          <a:prstGeom prst="rect"/>
                        </pic:spPr>
                      </pic:pic>
                    </a:graphicData>
                  </a:graphic>
                </wp:inline>
              </w:drawing>
            </w:r>
          </w:p>
        </w:tc>
        <w:tc>
          <w:tcPr>
            <w:tcW w:type="dxa" w:w="1875"/>
            <w:vAlign w:val="center"/>
            <w:shd w:fill="FFFFFF" w:val="clear"/>
          </w:tcPr>
          <w:p>
            <w:pPr>
              <w:keepNext w:val="0"/>
              <w:keepLines/>
              <w:spacing w:before="0" w:after="0" w:line="240" w:lineRule="auto"/>
              <w:ind w:firstLine="0"/>
              <w:jc w:val="left"/>
            </w:pP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8.4% (4.8% to 16.6%)</w:t>
            </w:r>
          </w:p>
        </w:tc>
        <w:tc>
          <w:tcPr>
            <w:tcW w:type="dxa" w:w="2937"/>
            <w:vAlign w:val="center"/>
            <w:shd w:fill="FFFFFF"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Ratio per 1 h: 1.181 (1.109 to 1.257)</w:t>
            </w:r>
            <w:r>
              <w:b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7.7% (2.9% to 13.9%)</w:t>
            </w:r>
          </w:p>
        </w:tc>
        <w:tc>
          <w:tcPr>
            <w:tcW w:type="dxa" w:w="3312"/>
            <w:vAlign w:val="center"/>
            <w:shd w:fill="FFFFFF"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25.4% (18.6% to 34.4%)</w:t>
            </w:r>
            <w:r>
              <w:br/>
            </w:r>
            <w:r>
              <w:rPr>
                <w:rFonts w:ascii="Arial" w:hAnsi="Arial"/>
                <w:b w:val="0"/>
                <w:i w:val="0"/>
                <w:color w:val="333333"/>
                <w:sz w:val="20"/>
              </w:rPr>
              <w:t>Conditional</w:t>
            </w:r>
            <w:r>
              <w:rPr>
                <w:rFonts w:ascii="Arial" w:hAnsi="Arial"/>
                <w:b w:val="0"/>
                <w:i w:val="0"/>
                <w:color w:val="333333"/>
                <w:sz w:val="20"/>
              </w:rPr>
              <w:t xml:space="preserve"> 57.7% (51.9% to 65.1%)</w:t>
            </w:r>
            <w:r>
              <w:br/>
            </w:r>
            <w:r>
              <w:rPr>
                <w:rFonts w:ascii="Arial" w:hAnsi="Arial"/>
                <w:b w:val="0"/>
                <w:i w:val="0"/>
                <w:color w:val="333333"/>
                <w:sz w:val="20"/>
              </w:rPr>
              <w:t>Participant-associated</w:t>
            </w:r>
            <w:r>
              <w:rPr>
                <w:rFonts w:ascii="Arial" w:hAnsi="Arial"/>
                <w:b w:val="0"/>
                <w:i w:val="0"/>
                <w:color w:val="333333"/>
                <w:sz w:val="20"/>
              </w:rPr>
              <w:t xml:space="preserve"> 32.3% (24.5% to 39.4%)</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Brightest 10 h geometric mean</w:t>
            </w:r>
          </w:p>
        </w:tc>
        <w:tc>
          <w:tcPr>
            <w:tcW w:type="dxa" w:w="2375"/>
            <w:vAlign w:val="center"/>
            <w:shd w:fill="F0F0F0" w:val="clear"/>
          </w:tcPr>
          <w:p>
            <w:pPr>
              <w:keepNext w:val="0"/>
              <w:keepLines/>
              <w:spacing w:before="0" w:after="0" w:line="240" w:lineRule="auto"/>
              <w:ind w:firstLine="0"/>
              <w:jc w:val="left"/>
            </w:pPr>
            <w:r/>
            <w:r>
              <w:rPr>
                <w:rFonts w:ascii="Arial" w:hAnsi="Arial"/>
                <w:b w:val="0"/>
                <w:i w:val="0"/>
                <w:color w:val="333333"/>
                <w:sz w:val="20"/>
              </w:rPr>
              <w:t>Offset geometric mean melEDI in the brightest supported 10-hour window; describes the strength of the main sustained daily exposure.</w:t>
            </w:r>
          </w:p>
        </w:tc>
        <w:tc>
          <w:tcPr>
            <w:tcW w:type="dxa" w:w="1750"/>
            <w:vAlign w:val="center"/>
            <w:shd w:fill="F0F0F0"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lx</w:t>
            </w:r>
            <w:r>
              <w:br/>
            </w:r>
            <w:r>
              <w:rPr>
                <w:rFonts w:ascii="Arial" w:hAnsi="Arial"/>
                <w:b w:val="0"/>
                <w:i w:val="0"/>
                <w:color w:val="333333"/>
                <w:sz w:val="20"/>
              </w:rPr>
              <w:t>Median</w:t>
            </w:r>
            <w:r>
              <w:rPr>
                <w:rFonts w:ascii="Arial" w:hAnsi="Arial"/>
                <w:b w:val="0"/>
                <w:i w:val="0"/>
                <w:color w:val="333333"/>
                <w:sz w:val="20"/>
              </w:rPr>
              <w:t xml:space="preserve"> 110.566</w:t>
            </w:r>
            <w:r>
              <w:br/>
            </w:r>
            <w:r>
              <w:rPr>
                <w:rFonts w:ascii="Arial" w:hAnsi="Arial"/>
                <w:b w:val="0"/>
                <w:i w:val="0"/>
                <w:color w:val="333333"/>
                <w:sz w:val="20"/>
              </w:rPr>
              <w:t>IQR</w:t>
            </w:r>
            <w:r>
              <w:rPr>
                <w:rFonts w:ascii="Arial" w:hAnsi="Arial"/>
                <w:b w:val="0"/>
                <w:i w:val="0"/>
                <w:color w:val="333333"/>
                <w:sz w:val="20"/>
              </w:rPr>
              <w:t xml:space="preserve"> 41.513 to 243.212</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816</w:t>
            </w:r>
          </w:p>
        </w:tc>
        <w:tc>
          <w:tcPr>
            <w:tcW w:type="dxa" w:w="1375"/>
            <w:vAlign w:val="center"/>
            <w:shd w:fill="F0F0F0"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10" name="Picture 10" descr="Accepted site distribution thumbnail for Brightest 10 h mean."/>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81685" cy="312674"/>
                          </a:xfrm>
                          <a:prstGeom prst="rect"/>
                        </pic:spPr>
                      </pic:pic>
                    </a:graphicData>
                  </a:graphic>
                </wp:inline>
              </w:drawing>
            </w:r>
          </w:p>
        </w:tc>
        <w:tc>
          <w:tcPr>
            <w:tcW w:type="dxa" w:w="1875"/>
            <w:vAlign w:val="center"/>
            <w:shd w:fill="F0F0F0" w:val="clear"/>
          </w:tcPr>
          <w:p>
            <w:pPr>
              <w:keepNext w:val="0"/>
              <w:keepLines/>
              <w:spacing w:before="0" w:after="0" w:line="240" w:lineRule="auto"/>
              <w:ind w:firstLine="0"/>
              <w:jc w:val="left"/>
            </w:pPr>
            <w:r/>
            <w:r>
              <w:rPr>
                <w:rFonts w:ascii="Arial" w:hAnsi="Arial"/>
                <w:b/>
                <w:i w:val="0"/>
                <w:color w:val="333333"/>
                <w:sz w:val="20"/>
              </w:rPr>
              <w:t>FDR</w:t>
            </w:r>
            <w:r>
              <w:rPr>
                <w:rFonts w:ascii="Arial" w:hAnsi="Arial"/>
                <w:b/>
                <w:i w:val="0"/>
                <w:color w:val="333333"/>
                <w:sz w:val="20"/>
              </w:rPr>
              <w:t xml:space="preserve"> supported; adjusted p 0.011</w:t>
            </w:r>
            <w:r>
              <w:br/>
            </w:r>
            <w:r>
              <w:rPr>
                <w:rFonts w:ascii="Arial" w:hAnsi="Arial"/>
                <w:b w:val="0"/>
                <w:i w:val="0"/>
                <w:color w:val="333333"/>
                <w:sz w:val="20"/>
              </w:rPr>
              <w:t>Part R-squared</w:t>
            </w:r>
            <w:r>
              <w:rPr>
                <w:rFonts w:ascii="Arial" w:hAnsi="Arial"/>
                <w:b w:val="0"/>
                <w:i w:val="0"/>
                <w:color w:val="333333"/>
                <w:sz w:val="20"/>
              </w:rPr>
              <w:t xml:space="preserve"> 5.7% (3.3% to 12.7%)</w:t>
            </w:r>
          </w:p>
        </w:tc>
        <w:tc>
          <w:tcPr>
            <w:tcW w:type="dxa" w:w="2937"/>
            <w:vAlign w:val="center"/>
            <w:shd w:fill="F0F0F0"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Ratio per 1 h: 1.243 (1.133 to 1.363)</w:t>
            </w:r>
            <w:r>
              <w:b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5.8% (1.9% to 11.1%)</w:t>
            </w:r>
          </w:p>
        </w:tc>
        <w:tc>
          <w:tcPr>
            <w:tcW w:type="dxa" w:w="3312"/>
            <w:vAlign w:val="center"/>
            <w:shd w:fill="F0F0F0"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17.6% (12.1% to 26.0%)</w:t>
            </w:r>
            <w:r>
              <w:br/>
            </w:r>
            <w:r>
              <w:rPr>
                <w:rFonts w:ascii="Arial" w:hAnsi="Arial"/>
                <w:b w:val="0"/>
                <w:i w:val="0"/>
                <w:color w:val="333333"/>
                <w:sz w:val="20"/>
              </w:rPr>
              <w:t>Conditional</w:t>
            </w:r>
            <w:r>
              <w:rPr>
                <w:rFonts w:ascii="Arial" w:hAnsi="Arial"/>
                <w:b w:val="0"/>
                <w:i w:val="0"/>
                <w:color w:val="333333"/>
                <w:sz w:val="20"/>
              </w:rPr>
              <w:t xml:space="preserve"> 46.0% (39.6% to 54.3%)</w:t>
            </w:r>
            <w:r>
              <w:br/>
            </w:r>
            <w:r>
              <w:rPr>
                <w:rFonts w:ascii="Arial" w:hAnsi="Arial"/>
                <w:b w:val="0"/>
                <w:i w:val="0"/>
                <w:color w:val="333333"/>
                <w:sz w:val="20"/>
              </w:rPr>
              <w:t>Participant-associated</w:t>
            </w:r>
            <w:r>
              <w:rPr>
                <w:rFonts w:ascii="Arial" w:hAnsi="Arial"/>
                <w:b w:val="0"/>
                <w:i w:val="0"/>
                <w:color w:val="333333"/>
                <w:sz w:val="20"/>
              </w:rPr>
              <w:t xml:space="preserve"> 28.4% (20.9% to 35.4%)</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Darkest 10 h geometric mean</w:t>
            </w:r>
          </w:p>
        </w:tc>
        <w:tc>
          <w:tcPr>
            <w:tcW w:type="dxa" w:w="2375"/>
            <w:vAlign w:val="center"/>
            <w:shd w:fill="FFFFFF" w:val="clear"/>
          </w:tcPr>
          <w:p>
            <w:pPr>
              <w:keepNext w:val="0"/>
              <w:keepLines/>
              <w:spacing w:before="0" w:after="0" w:line="240" w:lineRule="auto"/>
              <w:ind w:firstLine="0"/>
              <w:jc w:val="left"/>
            </w:pPr>
            <w:r/>
            <w:r>
              <w:rPr>
                <w:rFonts w:ascii="Arial" w:hAnsi="Arial"/>
                <w:b w:val="0"/>
                <w:i w:val="0"/>
                <w:color w:val="333333"/>
                <w:sz w:val="20"/>
              </w:rPr>
              <w:t>Offset geometric mean melEDI in the darkest supported 10-hour window; describes the sustained low-light period.</w:t>
            </w:r>
          </w:p>
        </w:tc>
        <w:tc>
          <w:tcPr>
            <w:tcW w:type="dxa" w:w="1750"/>
            <w:vAlign w:val="center"/>
            <w:shd w:fill="FFFFFF"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lx</w:t>
            </w:r>
            <w:r>
              <w:br/>
            </w:r>
            <w:r>
              <w:rPr>
                <w:rFonts w:ascii="Arial" w:hAnsi="Arial"/>
                <w:b w:val="0"/>
                <w:i w:val="0"/>
                <w:color w:val="333333"/>
                <w:sz w:val="20"/>
              </w:rPr>
              <w:t>Median</w:t>
            </w:r>
            <w:r>
              <w:rPr>
                <w:rFonts w:ascii="Arial" w:hAnsi="Arial"/>
                <w:b w:val="0"/>
                <w:i w:val="0"/>
                <w:color w:val="333333"/>
                <w:sz w:val="20"/>
              </w:rPr>
              <w:t xml:space="preserve"> 0.103</w:t>
            </w:r>
            <w:r>
              <w:br/>
            </w:r>
            <w:r>
              <w:rPr>
                <w:rFonts w:ascii="Arial" w:hAnsi="Arial"/>
                <w:b w:val="0"/>
                <w:i w:val="0"/>
                <w:color w:val="333333"/>
                <w:sz w:val="20"/>
              </w:rPr>
              <w:t>IQR</w:t>
            </w:r>
            <w:r>
              <w:rPr>
                <w:rFonts w:ascii="Arial" w:hAnsi="Arial"/>
                <w:b w:val="0"/>
                <w:i w:val="0"/>
                <w:color w:val="333333"/>
                <w:sz w:val="20"/>
              </w:rPr>
              <w:t xml:space="preserve"> 0.020 to 0.253</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816</w:t>
            </w:r>
          </w:p>
        </w:tc>
        <w:tc>
          <w:tcPr>
            <w:tcW w:type="dxa" w:w="1375"/>
            <w:vAlign w:val="center"/>
            <w:shd w:fill="FFFFFF"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11" name="Picture 11" descr="Accepted site distribution thumbnail for Darkest 10 h mean."/>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81685" cy="312674"/>
                          </a:xfrm>
                          <a:prstGeom prst="rect"/>
                        </pic:spPr>
                      </pic:pic>
                    </a:graphicData>
                  </a:graphic>
                </wp:inline>
              </w:drawing>
            </w:r>
          </w:p>
        </w:tc>
        <w:tc>
          <w:tcPr>
            <w:tcW w:type="dxa" w:w="1875"/>
            <w:vAlign w:val="center"/>
            <w:shd w:fill="FFFFFF" w:val="clear"/>
          </w:tcPr>
          <w:p>
            <w:pPr>
              <w:keepNext w:val="0"/>
              <w:keepLines/>
              <w:spacing w:before="0" w:after="0" w:line="240" w:lineRule="auto"/>
              <w:ind w:firstLine="0"/>
              <w:jc w:val="left"/>
            </w:pP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13.7% (9.2% to 23.9%)</w:t>
            </w:r>
          </w:p>
        </w:tc>
        <w:tc>
          <w:tcPr>
            <w:tcW w:type="dxa" w:w="2937"/>
            <w:vAlign w:val="center"/>
            <w:shd w:fill="FFFFFF"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Ratio per 1 h: 1.088 (1.034 to 1.144)</w:t>
            </w:r>
            <w:r>
              <w:br/>
            </w:r>
            <w:r>
              <w:rPr>
                <w:rFonts w:ascii="Arial" w:hAnsi="Arial"/>
                <w:b/>
                <w:i w:val="0"/>
                <w:color w:val="333333"/>
                <w:sz w:val="20"/>
              </w:rPr>
              <w:t>FDR</w:t>
            </w:r>
            <w:r>
              <w:rPr>
                <w:rFonts w:ascii="Arial" w:hAnsi="Arial"/>
                <w:b/>
                <w:i w:val="0"/>
                <w:color w:val="333333"/>
                <w:sz w:val="20"/>
              </w:rPr>
              <w:t xml:space="preserve"> supported; adjusted p 0.002</w:t>
            </w:r>
            <w:r>
              <w:br/>
            </w:r>
            <w:r>
              <w:rPr>
                <w:rFonts w:ascii="Arial" w:hAnsi="Arial"/>
                <w:b w:val="0"/>
                <w:i w:val="0"/>
                <w:color w:val="333333"/>
                <w:sz w:val="20"/>
              </w:rPr>
              <w:t>Part R-squared</w:t>
            </w:r>
            <w:r>
              <w:rPr>
                <w:rFonts w:ascii="Arial" w:hAnsi="Arial"/>
                <w:b w:val="0"/>
                <w:i w:val="0"/>
                <w:color w:val="333333"/>
                <w:sz w:val="20"/>
              </w:rPr>
              <w:t xml:space="preserve"> 3.4% (0.5% to 8.3%)</w:t>
            </w:r>
          </w:p>
        </w:tc>
        <w:tc>
          <w:tcPr>
            <w:tcW w:type="dxa" w:w="3312"/>
            <w:vAlign w:val="center"/>
            <w:shd w:fill="FFFFFF"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22.0% (15.8% to 31.8%)</w:t>
            </w:r>
            <w:r>
              <w:br/>
            </w:r>
            <w:r>
              <w:rPr>
                <w:rFonts w:ascii="Arial" w:hAnsi="Arial"/>
                <w:b w:val="0"/>
                <w:i w:val="0"/>
                <w:color w:val="333333"/>
                <w:sz w:val="20"/>
              </w:rPr>
              <w:t>Conditional</w:t>
            </w:r>
            <w:r>
              <w:rPr>
                <w:rFonts w:ascii="Arial" w:hAnsi="Arial"/>
                <w:b w:val="0"/>
                <w:i w:val="0"/>
                <w:color w:val="333333"/>
                <w:sz w:val="20"/>
              </w:rPr>
              <w:t xml:space="preserve"> 61.1% (55.3% to 68.1%)</w:t>
            </w:r>
            <w:r>
              <w:br/>
            </w:r>
            <w:r>
              <w:rPr>
                <w:rFonts w:ascii="Arial" w:hAnsi="Arial"/>
                <w:b w:val="0"/>
                <w:i w:val="0"/>
                <w:color w:val="333333"/>
                <w:sz w:val="20"/>
              </w:rPr>
              <w:t>Participant-associated</w:t>
            </w:r>
            <w:r>
              <w:rPr>
                <w:rFonts w:ascii="Arial" w:hAnsi="Arial"/>
                <w:b w:val="0"/>
                <w:i w:val="0"/>
                <w:color w:val="333333"/>
                <w:sz w:val="20"/>
              </w:rPr>
              <w:t xml:space="preserve"> 39.1% (30.4% to 46.2%)</w:t>
            </w:r>
          </w:p>
        </w:tc>
      </w:tr>
      <w:tr>
        <w:trPr>
          <w:cantSplit/>
        </w:trPr>
        <w:tc>
          <w:tcPr>
            <w:tcW w:type="dxa" w:w="15250"/>
            <w:gridSpan w:val="7"/>
            <w:vAlign w:val="center"/>
            <w:shd w:fill="FFFFFF" w:val="clear"/>
          </w:tcPr>
          <w:p>
            <w:pPr>
              <w:keepNext/>
              <w:keepLines/>
              <w:spacing w:before="0" w:after="0" w:line="240" w:lineRule="auto"/>
              <w:ind w:firstLine="0"/>
              <w:jc w:val="left"/>
            </w:pPr>
            <w:r/>
            <w:r>
              <w:rPr>
                <w:rFonts w:ascii="Arial" w:hAnsi="Arial"/>
                <w:b/>
                <w:i w:val="0"/>
                <w:color w:val="333333"/>
                <w:sz w:val="20"/>
              </w:rPr>
              <w:t>Spectrum</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Melanopic daylight efficacy ratio</w:t>
            </w:r>
          </w:p>
        </w:tc>
        <w:tc>
          <w:tcPr>
            <w:tcW w:type="dxa" w:w="2375"/>
            <w:vAlign w:val="center"/>
            <w:shd w:fill="F9F9F9" w:val="clear"/>
          </w:tcPr>
          <w:p>
            <w:pPr>
              <w:keepNext w:val="0"/>
              <w:keepLines/>
              <w:spacing w:before="0" w:after="0" w:line="240" w:lineRule="auto"/>
              <w:ind w:firstLine="0"/>
              <w:jc w:val="left"/>
            </w:pPr>
            <w:r/>
            <w:r>
              <w:rPr>
                <w:rFonts w:ascii="Arial" w:hAnsi="Arial"/>
                <w:b w:val="0"/>
                <w:i w:val="0"/>
                <w:color w:val="333333"/>
                <w:sz w:val="20"/>
              </w:rPr>
              <w:t>Mean of viable one-minute melEDI/illuminance ratios; indicates melanopic efficacy relative to visual light.</w:t>
            </w:r>
          </w:p>
        </w:tc>
        <w:tc>
          <w:tcPr>
            <w:tcW w:type="dxa" w:w="1750"/>
            <w:vAlign w:val="center"/>
            <w:shd w:fill="F9F9F9"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dimensionless</w:t>
            </w:r>
            <w:r>
              <w:br/>
            </w:r>
            <w:r>
              <w:rPr>
                <w:rFonts w:ascii="Arial" w:hAnsi="Arial"/>
                <w:b w:val="0"/>
                <w:i w:val="0"/>
                <w:color w:val="333333"/>
                <w:sz w:val="20"/>
              </w:rPr>
              <w:t>Median</w:t>
            </w:r>
            <w:r>
              <w:rPr>
                <w:rFonts w:ascii="Arial" w:hAnsi="Arial"/>
                <w:b w:val="0"/>
                <w:i w:val="0"/>
                <w:color w:val="333333"/>
                <w:sz w:val="20"/>
              </w:rPr>
              <w:t xml:space="preserve"> 0.724</w:t>
            </w:r>
            <w:r>
              <w:br/>
            </w:r>
            <w:r>
              <w:rPr>
                <w:rFonts w:ascii="Arial" w:hAnsi="Arial"/>
                <w:b w:val="0"/>
                <w:i w:val="0"/>
                <w:color w:val="333333"/>
                <w:sz w:val="20"/>
              </w:rPr>
              <w:t>IQR</w:t>
            </w:r>
            <w:r>
              <w:rPr>
                <w:rFonts w:ascii="Arial" w:hAnsi="Arial"/>
                <w:b w:val="0"/>
                <w:i w:val="0"/>
                <w:color w:val="333333"/>
                <w:sz w:val="20"/>
              </w:rPr>
              <w:t xml:space="preserve"> 0.643 to 0.795</w:t>
            </w:r>
            <w:r>
              <w:br/>
            </w:r>
            <w:r>
              <w:rPr>
                <w:rFonts w:ascii="Arial" w:hAnsi="Arial"/>
                <w:b w:val="0"/>
                <w:i w:val="0"/>
                <w:color w:val="333333"/>
                <w:sz w:val="20"/>
              </w:rPr>
              <w:t>Participants</w:t>
            </w:r>
            <w:r>
              <w:rPr>
                <w:rFonts w:ascii="Arial" w:hAnsi="Arial"/>
                <w:b w:val="0"/>
                <w:i w:val="0"/>
                <w:color w:val="333333"/>
                <w:sz w:val="20"/>
              </w:rPr>
              <w:t xml:space="preserve"> 137</w:t>
            </w:r>
            <w:r>
              <w:br/>
            </w:r>
            <w:r>
              <w:rPr>
                <w:rFonts w:ascii="Arial" w:hAnsi="Arial"/>
                <w:b w:val="0"/>
                <w:i w:val="0"/>
                <w:color w:val="333333"/>
                <w:sz w:val="20"/>
              </w:rPr>
              <w:t>Days</w:t>
            </w:r>
            <w:r>
              <w:rPr>
                <w:rFonts w:ascii="Arial" w:hAnsi="Arial"/>
                <w:b w:val="0"/>
                <w:i w:val="0"/>
                <w:color w:val="333333"/>
                <w:sz w:val="20"/>
              </w:rPr>
              <w:t xml:space="preserve"> 687</w:t>
            </w:r>
          </w:p>
        </w:tc>
        <w:tc>
          <w:tcPr>
            <w:tcW w:type="dxa" w:w="1375"/>
            <w:vAlign w:val="center"/>
            <w:shd w:fill="F9F9F9"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12" name="Picture 12" descr="Accepted site distribution thumbnail for Melanopic daylight efficacy ratio."/>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81685" cy="312674"/>
                          </a:xfrm>
                          <a:prstGeom prst="rect"/>
                        </pic:spPr>
                      </pic:pic>
                    </a:graphicData>
                  </a:graphic>
                </wp:inline>
              </w:drawing>
            </w:r>
          </w:p>
        </w:tc>
        <w:tc>
          <w:tcPr>
            <w:tcW w:type="dxa" w:w="1875"/>
            <w:vAlign w:val="center"/>
            <w:shd w:fill="F9F9F9" w:val="clear"/>
          </w:tcPr>
          <w:p>
            <w:pPr>
              <w:keepNext w:val="0"/>
              <w:keepLines/>
              <w:spacing w:before="0" w:after="0" w:line="240" w:lineRule="auto"/>
              <w:ind w:firstLine="0"/>
              <w:jc w:val="left"/>
            </w:pP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9.6% (6.0% to 17.8%)</w:t>
            </w:r>
          </w:p>
        </w:tc>
        <w:tc>
          <w:tcPr>
            <w:tcW w:type="dxa" w:w="2937"/>
            <w:vAlign w:val="center"/>
            <w:shd w:fill="F9F9F9"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Difference per 1 h: 0.024 (0.017 to 0.031)</w:t>
            </w:r>
            <w:r>
              <w:b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13.0% (6.7% to 20.6%)</w:t>
            </w:r>
          </w:p>
        </w:tc>
        <w:tc>
          <w:tcPr>
            <w:tcW w:type="dxa" w:w="3312"/>
            <w:vAlign w:val="center"/>
            <w:shd w:fill="F9F9F9"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27.8% (21.3% to 38.1%)</w:t>
            </w:r>
            <w:r>
              <w:br/>
            </w:r>
            <w:r>
              <w:rPr>
                <w:rFonts w:ascii="Arial" w:hAnsi="Arial"/>
                <w:b w:val="0"/>
                <w:i w:val="0"/>
                <w:color w:val="333333"/>
                <w:sz w:val="20"/>
              </w:rPr>
              <w:t>Conditional</w:t>
            </w:r>
            <w:r>
              <w:rPr>
                <w:rFonts w:ascii="Arial" w:hAnsi="Arial"/>
                <w:b w:val="0"/>
                <w:i w:val="0"/>
                <w:color w:val="333333"/>
                <w:sz w:val="20"/>
              </w:rPr>
              <w:t xml:space="preserve"> 60.5% (54.6% to 68.2%)</w:t>
            </w:r>
            <w:r>
              <w:br/>
            </w:r>
            <w:r>
              <w:rPr>
                <w:rFonts w:ascii="Arial" w:hAnsi="Arial"/>
                <w:b w:val="0"/>
                <w:i w:val="0"/>
                <w:color w:val="333333"/>
                <w:sz w:val="20"/>
              </w:rPr>
              <w:t>Participant-associated</w:t>
            </w:r>
            <w:r>
              <w:rPr>
                <w:rFonts w:ascii="Arial" w:hAnsi="Arial"/>
                <w:b w:val="0"/>
                <w:i w:val="0"/>
                <w:color w:val="333333"/>
                <w:sz w:val="20"/>
              </w:rPr>
              <w:t xml:space="preserve"> 32.7% (24.1% to 40.0%)</w:t>
            </w:r>
          </w:p>
        </w:tc>
      </w:tr>
      <w:tr>
        <w:trPr>
          <w:cantSplit/>
        </w:trPr>
        <w:tc>
          <w:tcPr>
            <w:tcW w:type="dxa" w:w="15250"/>
            <w:gridSpan w:val="7"/>
            <w:vAlign w:val="center"/>
            <w:shd w:fill="FFFFFF" w:val="clear"/>
          </w:tcPr>
          <w:p>
            <w:pPr>
              <w:keepNext/>
              <w:keepLines/>
              <w:spacing w:before="0" w:after="0" w:line="240" w:lineRule="auto"/>
              <w:ind w:firstLine="0"/>
              <w:jc w:val="left"/>
            </w:pPr>
            <w:r/>
            <w:r>
              <w:rPr>
                <w:rFonts w:ascii="Arial" w:hAnsi="Arial"/>
                <w:b/>
                <w:i w:val="0"/>
                <w:color w:val="333333"/>
                <w:sz w:val="20"/>
              </w:rPr>
              <w:t>Timing</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Midpoint of the brightest 10 hours</w:t>
            </w:r>
          </w:p>
        </w:tc>
        <w:tc>
          <w:tcPr>
            <w:tcW w:type="dxa" w:w="2375"/>
            <w:vAlign w:val="center"/>
            <w:shd w:fill="FFFFFF" w:val="clear"/>
          </w:tcPr>
          <w:p>
            <w:pPr>
              <w:keepNext w:val="0"/>
              <w:keepLines/>
              <w:spacing w:before="0" w:after="0" w:line="240" w:lineRule="auto"/>
              <w:ind w:firstLine="0"/>
              <w:jc w:val="left"/>
            </w:pPr>
            <w:r/>
            <w:r>
              <w:rPr>
                <w:rFonts w:ascii="Arial" w:hAnsi="Arial"/>
                <w:b w:val="0"/>
                <w:i w:val="0"/>
                <w:color w:val="333333"/>
                <w:sz w:val="20"/>
              </w:rPr>
              <w:t>Centre time of the brightest 10 hours; indexes the main daily circadian light cue.</w:t>
            </w:r>
          </w:p>
        </w:tc>
        <w:tc>
          <w:tcPr>
            <w:tcW w:type="dxa" w:w="1750"/>
            <w:vAlign w:val="center"/>
            <w:shd w:fill="FFFFFF"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clock time</w:t>
            </w:r>
            <w:r>
              <w:br/>
            </w:r>
            <w:r>
              <w:rPr>
                <w:rFonts w:ascii="Arial" w:hAnsi="Arial"/>
                <w:b w:val="0"/>
                <w:i w:val="0"/>
                <w:color w:val="333333"/>
                <w:sz w:val="20"/>
              </w:rPr>
              <w:t>Median</w:t>
            </w:r>
            <w:r>
              <w:rPr>
                <w:rFonts w:ascii="Arial" w:hAnsi="Arial"/>
                <w:b w:val="0"/>
                <w:i w:val="0"/>
                <w:color w:val="333333"/>
                <w:sz w:val="20"/>
              </w:rPr>
              <w:t xml:space="preserve"> 13:44</w:t>
            </w:r>
            <w:r>
              <w:br/>
            </w:r>
            <w:r>
              <w:rPr>
                <w:rFonts w:ascii="Arial" w:hAnsi="Arial"/>
                <w:b w:val="0"/>
                <w:i w:val="0"/>
                <w:color w:val="333333"/>
                <w:sz w:val="20"/>
              </w:rPr>
              <w:t>IQR</w:t>
            </w:r>
            <w:r>
              <w:rPr>
                <w:rFonts w:ascii="Arial" w:hAnsi="Arial"/>
                <w:b w:val="0"/>
                <w:i w:val="0"/>
                <w:color w:val="333333"/>
                <w:sz w:val="20"/>
              </w:rPr>
              <w:t xml:space="preserve"> 12:48 to 15:00</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816</w:t>
            </w:r>
          </w:p>
        </w:tc>
        <w:tc>
          <w:tcPr>
            <w:tcW w:type="dxa" w:w="1375"/>
            <w:vAlign w:val="center"/>
            <w:shd w:fill="FFFFFF"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13" name="Picture 13" descr="Accepted site distribution thumbnail for Midpoint of the brightest 10 hour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81685" cy="312674"/>
                          </a:xfrm>
                          <a:prstGeom prst="rect"/>
                        </pic:spPr>
                      </pic:pic>
                    </a:graphicData>
                  </a:graphic>
                </wp:inline>
              </w:drawing>
            </w:r>
          </w:p>
        </w:tc>
        <w:tc>
          <w:tcPr>
            <w:tcW w:type="dxa" w:w="1875"/>
            <w:vAlign w:val="center"/>
            <w:shd w:fill="FFFFFF" w:val="clear"/>
          </w:tcPr>
          <w:p>
            <w:pPr>
              <w:keepNext w:val="0"/>
              <w:keepLines/>
              <w:spacing w:before="0" w:after="0" w:line="240" w:lineRule="auto"/>
              <w:ind w:firstLine="0"/>
              <w:jc w:val="left"/>
            </w:pP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6.5% (4.4% to 12.6%)</w:t>
            </w:r>
          </w:p>
        </w:tc>
        <w:tc>
          <w:tcPr>
            <w:tcW w:type="dxa" w:w="2937"/>
            <w:vAlign w:val="center"/>
            <w:shd w:fill="FFFFFF"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Difference per 1 h: 0.054 (-0.045 to 0.153)</w:t>
            </w:r>
            <w:r>
              <w:br/>
            </w:r>
            <w:r>
              <w:rPr>
                <w:rFonts w:ascii="Arial" w:hAnsi="Arial"/>
                <w:b w:val="0"/>
                <w:i w:val="0"/>
                <w:color w:val="333333"/>
                <w:sz w:val="20"/>
              </w:rPr>
              <w:t>FDR</w:t>
            </w:r>
            <w:r>
              <w:rPr>
                <w:rFonts w:ascii="Arial" w:hAnsi="Arial"/>
                <w:b w:val="0"/>
                <w:i w:val="0"/>
                <w:color w:val="333333"/>
                <w:sz w:val="20"/>
              </w:rPr>
              <w:t xml:space="preserve"> not supported; adjusted p 0.305</w:t>
            </w:r>
            <w:r>
              <w:br/>
            </w:r>
            <w:r>
              <w:rPr>
                <w:rFonts w:ascii="Arial" w:hAnsi="Arial"/>
                <w:b w:val="0"/>
                <w:i w:val="0"/>
                <w:color w:val="333333"/>
                <w:sz w:val="20"/>
              </w:rPr>
              <w:t>Part R-squared</w:t>
            </w:r>
            <w:r>
              <w:rPr>
                <w:rFonts w:ascii="Arial" w:hAnsi="Arial"/>
                <w:b w:val="0"/>
                <w:i w:val="0"/>
                <w:color w:val="333333"/>
                <w:sz w:val="20"/>
              </w:rPr>
              <w:t xml:space="preserve"> 0.2% (0.0% to 1.8%)</w:t>
            </w:r>
          </w:p>
        </w:tc>
        <w:tc>
          <w:tcPr>
            <w:tcW w:type="dxa" w:w="3312"/>
            <w:vAlign w:val="center"/>
            <w:shd w:fill="FFFFFF"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6.7% (4.6% to 13.0%)</w:t>
            </w:r>
            <w:r>
              <w:br/>
            </w:r>
            <w:r>
              <w:rPr>
                <w:rFonts w:ascii="Arial" w:hAnsi="Arial"/>
                <w:b w:val="0"/>
                <w:i w:val="0"/>
                <w:color w:val="333333"/>
                <w:sz w:val="20"/>
              </w:rPr>
              <w:t>Conditional</w:t>
            </w:r>
            <w:r>
              <w:rPr>
                <w:rFonts w:ascii="Arial" w:hAnsi="Arial"/>
                <w:b w:val="0"/>
                <w:i w:val="0"/>
                <w:color w:val="333333"/>
                <w:sz w:val="20"/>
              </w:rPr>
              <w:t xml:space="preserve"> 22.9% (16.9% to 31.6%)</w:t>
            </w:r>
            <w:r>
              <w:br/>
            </w:r>
            <w:r>
              <w:rPr>
                <w:rFonts w:ascii="Arial" w:hAnsi="Arial"/>
                <w:b w:val="0"/>
                <w:i w:val="0"/>
                <w:color w:val="333333"/>
                <w:sz w:val="20"/>
              </w:rPr>
              <w:t>Participant-associated</w:t>
            </w:r>
            <w:r>
              <w:rPr>
                <w:rFonts w:ascii="Arial" w:hAnsi="Arial"/>
                <w:b w:val="0"/>
                <w:i w:val="0"/>
                <w:color w:val="333333"/>
                <w:sz w:val="20"/>
              </w:rPr>
              <w:t xml:space="preserve"> 16.2% (9.6% to 22.4%)</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Midpoint of the darkest 10 hours</w:t>
            </w:r>
          </w:p>
        </w:tc>
        <w:tc>
          <w:tcPr>
            <w:tcW w:type="dxa" w:w="2375"/>
            <w:vAlign w:val="center"/>
            <w:shd w:fill="F0F0F0" w:val="clear"/>
          </w:tcPr>
          <w:p>
            <w:pPr>
              <w:keepNext w:val="0"/>
              <w:keepLines/>
              <w:spacing w:before="0" w:after="0" w:line="240" w:lineRule="auto"/>
              <w:ind w:firstLine="0"/>
              <w:jc w:val="left"/>
            </w:pPr>
            <w:r/>
            <w:r>
              <w:rPr>
                <w:rFonts w:ascii="Arial" w:hAnsi="Arial"/>
                <w:b w:val="0"/>
                <w:i w:val="0"/>
                <w:color w:val="333333"/>
                <w:sz w:val="20"/>
              </w:rPr>
              <w:t>Centre time of the darkest 10 hours; indexes the main daily darkness cue.</w:t>
            </w:r>
          </w:p>
        </w:tc>
        <w:tc>
          <w:tcPr>
            <w:tcW w:type="dxa" w:w="1750"/>
            <w:vAlign w:val="center"/>
            <w:shd w:fill="F0F0F0"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clock time</w:t>
            </w:r>
            <w:r>
              <w:br/>
            </w:r>
            <w:r>
              <w:rPr>
                <w:rFonts w:ascii="Arial" w:hAnsi="Arial"/>
                <w:b w:val="0"/>
                <w:i w:val="0"/>
                <w:color w:val="333333"/>
                <w:sz w:val="20"/>
              </w:rPr>
              <w:t>Median</w:t>
            </w:r>
            <w:r>
              <w:rPr>
                <w:rFonts w:ascii="Arial" w:hAnsi="Arial"/>
                <w:b w:val="0"/>
                <w:i w:val="0"/>
                <w:color w:val="333333"/>
                <w:sz w:val="20"/>
              </w:rPr>
              <w:t xml:space="preserve"> 02:54</w:t>
            </w:r>
            <w:r>
              <w:br/>
            </w:r>
            <w:r>
              <w:rPr>
                <w:rFonts w:ascii="Arial" w:hAnsi="Arial"/>
                <w:b w:val="0"/>
                <w:i w:val="0"/>
                <w:color w:val="333333"/>
                <w:sz w:val="20"/>
              </w:rPr>
              <w:t>IQR</w:t>
            </w:r>
            <w:r>
              <w:rPr>
                <w:rFonts w:ascii="Arial" w:hAnsi="Arial"/>
                <w:b w:val="0"/>
                <w:i w:val="0"/>
                <w:color w:val="333333"/>
                <w:sz w:val="20"/>
              </w:rPr>
              <w:t xml:space="preserve"> 02:01 to 03:50</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816</w:t>
            </w:r>
          </w:p>
        </w:tc>
        <w:tc>
          <w:tcPr>
            <w:tcW w:type="dxa" w:w="1375"/>
            <w:vAlign w:val="center"/>
            <w:shd w:fill="F0F0F0"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14" name="Picture 14" descr="Accepted site distribution thumbnail for Midpoint of the darkest 10 hours."/>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81685" cy="312674"/>
                          </a:xfrm>
                          <a:prstGeom prst="rect"/>
                        </pic:spPr>
                      </pic:pic>
                    </a:graphicData>
                  </a:graphic>
                </wp:inline>
              </w:drawing>
            </w:r>
          </w:p>
        </w:tc>
        <w:tc>
          <w:tcPr>
            <w:tcW w:type="dxa" w:w="1875"/>
            <w:vAlign w:val="center"/>
            <w:shd w:fill="F0F0F0" w:val="clear"/>
          </w:tcPr>
          <w:p>
            <w:pPr>
              <w:keepNext w:val="0"/>
              <w:keepLines/>
              <w:spacing w:before="0" w:after="0" w:line="240" w:lineRule="auto"/>
              <w:ind w:firstLine="0"/>
              <w:jc w:val="left"/>
            </w:pPr>
            <w:r/>
            <w:r>
              <w:rPr>
                <w:rFonts w:ascii="Arial" w:hAnsi="Arial"/>
                <w:b/>
                <w:i w:val="0"/>
                <w:color w:val="333333"/>
                <w:sz w:val="20"/>
              </w:rPr>
              <w:t>FDR</w:t>
            </w:r>
            <w:r>
              <w:rPr>
                <w:rFonts w:ascii="Arial" w:hAnsi="Arial"/>
                <w:b/>
                <w:i w:val="0"/>
                <w:color w:val="333333"/>
                <w:sz w:val="20"/>
              </w:rPr>
              <w:t xml:space="preserve"> supported; adjusted p 0.020</w:t>
            </w:r>
            <w:r>
              <w:br/>
            </w:r>
            <w:r>
              <w:rPr>
                <w:rFonts w:ascii="Arial" w:hAnsi="Arial"/>
                <w:b w:val="0"/>
                <w:i w:val="0"/>
                <w:color w:val="333333"/>
                <w:sz w:val="20"/>
              </w:rPr>
              <w:t>Part R-squared</w:t>
            </w:r>
            <w:r>
              <w:rPr>
                <w:rFonts w:ascii="Arial" w:hAnsi="Arial"/>
                <w:b w:val="0"/>
                <w:i w:val="0"/>
                <w:color w:val="333333"/>
                <w:sz w:val="20"/>
              </w:rPr>
              <w:t xml:space="preserve"> 4.6% (3.0% to 10.5%)</w:t>
            </w:r>
          </w:p>
        </w:tc>
        <w:tc>
          <w:tcPr>
            <w:tcW w:type="dxa" w:w="2937"/>
            <w:vAlign w:val="center"/>
            <w:shd w:fill="F0F0F0"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Difference per 1 h: -0.148 (-0.245 to -0.050)</w:t>
            </w:r>
            <w:r>
              <w:br/>
            </w:r>
            <w:r>
              <w:rPr>
                <w:rFonts w:ascii="Arial" w:hAnsi="Arial"/>
                <w:b/>
                <w:i w:val="0"/>
                <w:color w:val="333333"/>
                <w:sz w:val="20"/>
              </w:rPr>
              <w:t>FDR</w:t>
            </w:r>
            <w:r>
              <w:rPr>
                <w:rFonts w:ascii="Arial" w:hAnsi="Arial"/>
                <w:b/>
                <w:i w:val="0"/>
                <w:color w:val="333333"/>
                <w:sz w:val="20"/>
              </w:rPr>
              <w:t xml:space="preserve"> supported; adjusted p 0.004</w:t>
            </w:r>
            <w:r>
              <w:br/>
            </w:r>
            <w:r>
              <w:rPr>
                <w:rFonts w:ascii="Arial" w:hAnsi="Arial"/>
                <w:b w:val="0"/>
                <w:i w:val="0"/>
                <w:color w:val="333333"/>
                <w:sz w:val="20"/>
              </w:rPr>
              <w:t>Part R-squared</w:t>
            </w:r>
            <w:r>
              <w:rPr>
                <w:rFonts w:ascii="Arial" w:hAnsi="Arial"/>
                <w:b w:val="0"/>
                <w:i w:val="0"/>
                <w:color w:val="333333"/>
                <w:sz w:val="20"/>
              </w:rPr>
              <w:t xml:space="preserve"> 2.1% (0.3% to 5.6%)</w:t>
            </w:r>
          </w:p>
        </w:tc>
        <w:tc>
          <w:tcPr>
            <w:tcW w:type="dxa" w:w="3312"/>
            <w:vAlign w:val="center"/>
            <w:shd w:fill="F0F0F0"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8.6% (5.9% to 15.8%)</w:t>
            </w:r>
            <w:r>
              <w:br/>
            </w:r>
            <w:r>
              <w:rPr>
                <w:rFonts w:ascii="Arial" w:hAnsi="Arial"/>
                <w:b w:val="0"/>
                <w:i w:val="0"/>
                <w:color w:val="333333"/>
                <w:sz w:val="20"/>
              </w:rPr>
              <w:t>Conditional</w:t>
            </w:r>
            <w:r>
              <w:rPr>
                <w:rFonts w:ascii="Arial" w:hAnsi="Arial"/>
                <w:b w:val="0"/>
                <w:i w:val="0"/>
                <w:color w:val="333333"/>
                <w:sz w:val="20"/>
              </w:rPr>
              <w:t xml:space="preserve"> 28.2% (22.1% to 36.7%)</w:t>
            </w:r>
            <w:r>
              <w:br/>
            </w:r>
            <w:r>
              <w:rPr>
                <w:rFonts w:ascii="Arial" w:hAnsi="Arial"/>
                <w:b w:val="0"/>
                <w:i w:val="0"/>
                <w:color w:val="333333"/>
                <w:sz w:val="20"/>
              </w:rPr>
              <w:t>Participant-associated</w:t>
            </w:r>
            <w:r>
              <w:rPr>
                <w:rFonts w:ascii="Arial" w:hAnsi="Arial"/>
                <w:b w:val="0"/>
                <w:i w:val="0"/>
                <w:color w:val="333333"/>
                <w:sz w:val="20"/>
              </w:rPr>
              <w:t xml:space="preserve"> 19.6% (12.6% to 25.8%)</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First light timing above 250 lx melEDI</w:t>
            </w:r>
          </w:p>
        </w:tc>
        <w:tc>
          <w:tcPr>
            <w:tcW w:type="dxa" w:w="2375"/>
            <w:vAlign w:val="center"/>
            <w:shd w:fill="FFFFFF" w:val="clear"/>
          </w:tcPr>
          <w:p>
            <w:pPr>
              <w:keepNext w:val="0"/>
              <w:keepLines/>
              <w:spacing w:before="0" w:after="0" w:line="240" w:lineRule="auto"/>
              <w:ind w:firstLine="0"/>
              <w:jc w:val="left"/>
            </w:pPr>
            <w:r/>
            <w:r>
              <w:rPr>
                <w:rFonts w:ascii="Arial" w:hAnsi="Arial"/>
                <w:b w:val="0"/>
                <w:i w:val="0"/>
                <w:color w:val="333333"/>
                <w:sz w:val="20"/>
              </w:rPr>
              <w:t>First waking bright-light exposure; morning timing can advance circadian phase and promote alertness.</w:t>
            </w:r>
          </w:p>
        </w:tc>
        <w:tc>
          <w:tcPr>
            <w:tcW w:type="dxa" w:w="1750"/>
            <w:vAlign w:val="center"/>
            <w:shd w:fill="FFFFFF"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clock time</w:t>
            </w:r>
            <w:r>
              <w:br/>
            </w:r>
            <w:r>
              <w:rPr>
                <w:rFonts w:ascii="Arial" w:hAnsi="Arial"/>
                <w:b w:val="0"/>
                <w:i w:val="0"/>
                <w:color w:val="333333"/>
                <w:sz w:val="20"/>
              </w:rPr>
              <w:t>Median</w:t>
            </w:r>
            <w:r>
              <w:rPr>
                <w:rFonts w:ascii="Arial" w:hAnsi="Arial"/>
                <w:b w:val="0"/>
                <w:i w:val="0"/>
                <w:color w:val="333333"/>
                <w:sz w:val="20"/>
              </w:rPr>
              <w:t xml:space="preserve"> 09:08</w:t>
            </w:r>
            <w:r>
              <w:br/>
            </w:r>
            <w:r>
              <w:rPr>
                <w:rFonts w:ascii="Arial" w:hAnsi="Arial"/>
                <w:b w:val="0"/>
                <w:i w:val="0"/>
                <w:color w:val="333333"/>
                <w:sz w:val="20"/>
              </w:rPr>
              <w:t>IQR</w:t>
            </w:r>
            <w:r>
              <w:rPr>
                <w:rFonts w:ascii="Arial" w:hAnsi="Arial"/>
                <w:b w:val="0"/>
                <w:i w:val="0"/>
                <w:color w:val="333333"/>
                <w:sz w:val="20"/>
              </w:rPr>
              <w:t xml:space="preserve"> 08:02 to 10:40</w:t>
            </w:r>
            <w:r>
              <w:br/>
            </w:r>
            <w:r>
              <w:rPr>
                <w:rFonts w:ascii="Arial" w:hAnsi="Arial"/>
                <w:b w:val="0"/>
                <w:i w:val="0"/>
                <w:color w:val="333333"/>
                <w:sz w:val="20"/>
              </w:rPr>
              <w:t>Participants</w:t>
            </w:r>
            <w:r>
              <w:rPr>
                <w:rFonts w:ascii="Arial" w:hAnsi="Arial"/>
                <w:b w:val="0"/>
                <w:i w:val="0"/>
                <w:color w:val="333333"/>
                <w:sz w:val="20"/>
              </w:rPr>
              <w:t xml:space="preserve"> 140</w:t>
            </w:r>
            <w:r>
              <w:br/>
            </w:r>
            <w:r>
              <w:rPr>
                <w:rFonts w:ascii="Arial" w:hAnsi="Arial"/>
                <w:b w:val="0"/>
                <w:i w:val="0"/>
                <w:color w:val="333333"/>
                <w:sz w:val="20"/>
              </w:rPr>
              <w:t>Days</w:t>
            </w:r>
            <w:r>
              <w:rPr>
                <w:rFonts w:ascii="Arial" w:hAnsi="Arial"/>
                <w:b w:val="0"/>
                <w:i w:val="0"/>
                <w:color w:val="333333"/>
                <w:sz w:val="20"/>
              </w:rPr>
              <w:t xml:space="preserve"> 727</w:t>
            </w:r>
          </w:p>
        </w:tc>
        <w:tc>
          <w:tcPr>
            <w:tcW w:type="dxa" w:w="1375"/>
            <w:vAlign w:val="center"/>
            <w:shd w:fill="FFFFFF"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15" name="Picture 15" descr="Accepted site distribution thumbnail for First light timing above 250 lx melEDI."/>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81685" cy="312674"/>
                          </a:xfrm>
                          <a:prstGeom prst="rect"/>
                        </pic:spPr>
                      </pic:pic>
                    </a:graphicData>
                  </a:graphic>
                </wp:inline>
              </w:drawing>
            </w:r>
          </w:p>
        </w:tc>
        <w:tc>
          <w:tcPr>
            <w:tcW w:type="dxa" w:w="1875"/>
            <w:vAlign w:val="center"/>
            <w:shd w:fill="FFFFFF" w:val="clear"/>
          </w:tcPr>
          <w:p>
            <w:pPr>
              <w:keepNext w:val="0"/>
              <w:keepLines/>
              <w:spacing w:before="0" w:after="0" w:line="240" w:lineRule="auto"/>
              <w:ind w:firstLine="0"/>
              <w:jc w:val="left"/>
            </w:pPr>
            <w:r/>
            <w:r>
              <w:rPr>
                <w:rFonts w:ascii="Arial" w:hAnsi="Arial"/>
                <w:b w:val="0"/>
                <w:i w:val="0"/>
                <w:color w:val="333333"/>
                <w:sz w:val="20"/>
              </w:rPr>
              <w:t>FDR</w:t>
            </w:r>
            <w:r>
              <w:rPr>
                <w:rFonts w:ascii="Arial" w:hAnsi="Arial"/>
                <w:b w:val="0"/>
                <w:i w:val="0"/>
                <w:color w:val="333333"/>
                <w:sz w:val="20"/>
              </w:rPr>
              <w:t xml:space="preserve"> not supported; adjusted p 0.112</w:t>
            </w:r>
            <w:r>
              <w:br/>
            </w:r>
            <w:r>
              <w:rPr>
                <w:rFonts w:ascii="Arial" w:hAnsi="Arial"/>
                <w:b w:val="0"/>
                <w:i w:val="0"/>
                <w:color w:val="333333"/>
                <w:sz w:val="20"/>
              </w:rPr>
              <w:t>Part R-squared</w:t>
            </w:r>
            <w:r>
              <w:rPr>
                <w:rFonts w:ascii="Arial" w:hAnsi="Arial"/>
                <w:b w:val="0"/>
                <w:i w:val="0"/>
                <w:color w:val="333333"/>
                <w:sz w:val="20"/>
              </w:rPr>
              <w:t xml:space="preserve"> 3.8% (2.3% to 10.2%)</w:t>
            </w:r>
          </w:p>
        </w:tc>
        <w:tc>
          <w:tcPr>
            <w:tcW w:type="dxa" w:w="2937"/>
            <w:vAlign w:val="center"/>
            <w:shd w:fill="FFFFFF"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Difference per 1 h: -0.097 (-0.247 to 0.053)</w:t>
            </w:r>
            <w:r>
              <w:br/>
            </w:r>
            <w:r>
              <w:rPr>
                <w:rFonts w:ascii="Arial" w:hAnsi="Arial"/>
                <w:b w:val="0"/>
                <w:i w:val="0"/>
                <w:color w:val="333333"/>
                <w:sz w:val="20"/>
              </w:rPr>
              <w:t>FDR</w:t>
            </w:r>
            <w:r>
              <w:rPr>
                <w:rFonts w:ascii="Arial" w:hAnsi="Arial"/>
                <w:b w:val="0"/>
                <w:i w:val="0"/>
                <w:color w:val="333333"/>
                <w:sz w:val="20"/>
              </w:rPr>
              <w:t xml:space="preserve"> not supported; adjusted p 0.227</w:t>
            </w:r>
            <w:r>
              <w:br/>
            </w:r>
            <w:r>
              <w:rPr>
                <w:rFonts w:ascii="Arial" w:hAnsi="Arial"/>
                <w:b w:val="0"/>
                <w:i w:val="0"/>
                <w:color w:val="333333"/>
                <w:sz w:val="20"/>
              </w:rPr>
              <w:t>Part R-squared</w:t>
            </w:r>
            <w:r>
              <w:rPr>
                <w:rFonts w:ascii="Arial" w:hAnsi="Arial"/>
                <w:b w:val="0"/>
                <w:i w:val="0"/>
                <w:color w:val="333333"/>
                <w:sz w:val="20"/>
              </w:rPr>
              <w:t xml:space="preserve"> 0.5% (0.0% to 2.8%)</w:t>
            </w:r>
          </w:p>
        </w:tc>
        <w:tc>
          <w:tcPr>
            <w:tcW w:type="dxa" w:w="3312"/>
            <w:vAlign w:val="center"/>
            <w:shd w:fill="FFFFFF"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6.8% (4.4% to 14.4%)</w:t>
            </w:r>
            <w:r>
              <w:br/>
            </w:r>
            <w:r>
              <w:rPr>
                <w:rFonts w:ascii="Arial" w:hAnsi="Arial"/>
                <w:b w:val="0"/>
                <w:i w:val="0"/>
                <w:color w:val="333333"/>
                <w:sz w:val="20"/>
              </w:rPr>
              <w:t>Conditional</w:t>
            </w:r>
            <w:r>
              <w:rPr>
                <w:rFonts w:ascii="Arial" w:hAnsi="Arial"/>
                <w:b w:val="0"/>
                <w:i w:val="0"/>
                <w:color w:val="333333"/>
                <w:sz w:val="20"/>
              </w:rPr>
              <w:t xml:space="preserve"> 31.0% (24.6% to 40.5%)</w:t>
            </w:r>
            <w:r>
              <w:br/>
            </w:r>
            <w:r>
              <w:rPr>
                <w:rFonts w:ascii="Arial" w:hAnsi="Arial"/>
                <w:b w:val="0"/>
                <w:i w:val="0"/>
                <w:color w:val="333333"/>
                <w:sz w:val="20"/>
              </w:rPr>
              <w:t>Participant-associated</w:t>
            </w:r>
            <w:r>
              <w:rPr>
                <w:rFonts w:ascii="Arial" w:hAnsi="Arial"/>
                <w:b w:val="0"/>
                <w:i w:val="0"/>
                <w:color w:val="333333"/>
                <w:sz w:val="20"/>
              </w:rPr>
              <w:t xml:space="preserve"> 24.2% (16.2% to 31.5%)</w:t>
            </w:r>
          </w:p>
        </w:tc>
      </w:tr>
      <w:tr>
        <w:trPr>
          <w:cantSplit/>
        </w:trPr>
        <w:tc>
          <w:tcPr>
            <w:tcW w:type="dxa" w:w="1625"/>
            <w:vAlign w:val="center"/>
            <w:shd w:fill="FFFFFF" w:val="clear"/>
          </w:tcPr>
          <w:p>
            <w:pPr>
              <w:keepNext w:val="0"/>
              <w:keepLines/>
              <w:spacing w:before="0" w:after="0" w:line="240" w:lineRule="auto"/>
              <w:ind w:firstLine="0"/>
              <w:jc w:val="left"/>
            </w:pPr>
            <w:r/>
            <w:r>
              <w:rPr>
                <w:rFonts w:ascii="Arial" w:hAnsi="Arial"/>
                <w:b/>
                <w:i w:val="0"/>
                <w:color w:val="333333"/>
                <w:sz w:val="20"/>
              </w:rPr>
              <w:t>Last light timing above 250 lx melEDI</w:t>
            </w:r>
          </w:p>
        </w:tc>
        <w:tc>
          <w:tcPr>
            <w:tcW w:type="dxa" w:w="2375"/>
            <w:vAlign w:val="center"/>
            <w:shd w:fill="F0F0F0" w:val="clear"/>
          </w:tcPr>
          <w:p>
            <w:pPr>
              <w:keepNext w:val="0"/>
              <w:keepLines/>
              <w:spacing w:before="0" w:after="0" w:line="240" w:lineRule="auto"/>
              <w:ind w:firstLine="0"/>
              <w:jc w:val="left"/>
            </w:pPr>
            <w:r/>
            <w:r>
              <w:rPr>
                <w:rFonts w:ascii="Arial" w:hAnsi="Arial"/>
                <w:b w:val="0"/>
                <w:i w:val="0"/>
                <w:color w:val="333333"/>
                <w:sz w:val="20"/>
              </w:rPr>
              <w:t>Last bright-light exposure; later timing may delay circadian phase and sleep onset.</w:t>
            </w:r>
          </w:p>
        </w:tc>
        <w:tc>
          <w:tcPr>
            <w:tcW w:type="dxa" w:w="1750"/>
            <w:vAlign w:val="center"/>
            <w:shd w:fill="F0F0F0" w:val="clear"/>
          </w:tcPr>
          <w:p>
            <w:pPr>
              <w:keepNext w:val="0"/>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clock time</w:t>
            </w:r>
            <w:r>
              <w:br/>
            </w:r>
            <w:r>
              <w:rPr>
                <w:rFonts w:ascii="Arial" w:hAnsi="Arial"/>
                <w:b w:val="0"/>
                <w:i w:val="0"/>
                <w:color w:val="333333"/>
                <w:sz w:val="20"/>
              </w:rPr>
              <w:t>Median</w:t>
            </w:r>
            <w:r>
              <w:rPr>
                <w:rFonts w:ascii="Arial" w:hAnsi="Arial"/>
                <w:b w:val="0"/>
                <w:i w:val="0"/>
                <w:color w:val="333333"/>
                <w:sz w:val="20"/>
              </w:rPr>
              <w:t xml:space="preserve"> 18:08</w:t>
            </w:r>
            <w:r>
              <w:br/>
            </w:r>
            <w:r>
              <w:rPr>
                <w:rFonts w:ascii="Arial" w:hAnsi="Arial"/>
                <w:b w:val="0"/>
                <w:i w:val="0"/>
                <w:color w:val="333333"/>
                <w:sz w:val="20"/>
              </w:rPr>
              <w:t>IQR</w:t>
            </w:r>
            <w:r>
              <w:rPr>
                <w:rFonts w:ascii="Arial" w:hAnsi="Arial"/>
                <w:b w:val="0"/>
                <w:i w:val="0"/>
                <w:color w:val="333333"/>
                <w:sz w:val="20"/>
              </w:rPr>
              <w:t xml:space="preserve"> 16:27 to 19:42</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687</w:t>
            </w:r>
          </w:p>
        </w:tc>
        <w:tc>
          <w:tcPr>
            <w:tcW w:type="dxa" w:w="1375"/>
            <w:vAlign w:val="center"/>
            <w:shd w:fill="F0F0F0" w:val="clear"/>
          </w:tcPr>
          <w:p>
            <w:pPr>
              <w:keepNext w:val="0"/>
              <w:keepLines/>
              <w:spacing w:before="0" w:after="0" w:line="240" w:lineRule="auto"/>
              <w:ind w:firstLine="0"/>
              <w:jc w:val="center"/>
            </w:pPr>
            <w:r/>
            <w:r>
              <w:drawing>
                <wp:inline xmlns:a="http://schemas.openxmlformats.org/drawingml/2006/main" xmlns:pic="http://schemas.openxmlformats.org/drawingml/2006/picture">
                  <wp:extent cx="781685" cy="312674"/>
                  <wp:docPr id="16" name="Picture 16" descr="Accepted site distribution thumbnail for Last light timing above 250 lx melEDI."/>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781685" cy="312674"/>
                          </a:xfrm>
                          <a:prstGeom prst="rect"/>
                        </pic:spPr>
                      </pic:pic>
                    </a:graphicData>
                  </a:graphic>
                </wp:inline>
              </w:drawing>
            </w:r>
          </w:p>
        </w:tc>
        <w:tc>
          <w:tcPr>
            <w:tcW w:type="dxa" w:w="1875"/>
            <w:vAlign w:val="center"/>
            <w:shd w:fill="F0F0F0" w:val="clear"/>
          </w:tcPr>
          <w:p>
            <w:pPr>
              <w:keepNext w:val="0"/>
              <w:keepLines/>
              <w:spacing w:before="0" w:after="0" w:line="240" w:lineRule="auto"/>
              <w:ind w:firstLine="0"/>
              <w:jc w:val="left"/>
            </w:pP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11.6% (8.3% to 18.6%)</w:t>
            </w:r>
          </w:p>
        </w:tc>
        <w:tc>
          <w:tcPr>
            <w:tcW w:type="dxa" w:w="2937"/>
            <w:vAlign w:val="center"/>
            <w:shd w:fill="F0F0F0" w:val="clear"/>
          </w:tcPr>
          <w:p>
            <w:pPr>
              <w:keepNext w:val="0"/>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Difference per 1 h: 0.323 (0.186 to 0.460)</w:t>
            </w:r>
            <w:r>
              <w:b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4.5% (1.5% to 8.5%)</w:t>
            </w:r>
          </w:p>
        </w:tc>
        <w:tc>
          <w:tcPr>
            <w:tcW w:type="dxa" w:w="3312"/>
            <w:vAlign w:val="center"/>
            <w:shd w:fill="F0F0F0" w:val="clear"/>
          </w:tcPr>
          <w:p>
            <w:pPr>
              <w:keepNext w:val="0"/>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22.2% (17.0% to 30.2%)</w:t>
            </w:r>
            <w:r>
              <w:br/>
            </w:r>
            <w:r>
              <w:rPr>
                <w:rFonts w:ascii="Arial" w:hAnsi="Arial"/>
                <w:b w:val="0"/>
                <w:i w:val="0"/>
                <w:color w:val="333333"/>
                <w:sz w:val="20"/>
              </w:rPr>
              <w:t>Conditional</w:t>
            </w:r>
            <w:r>
              <w:rPr>
                <w:rFonts w:ascii="Arial" w:hAnsi="Arial"/>
                <w:b w:val="0"/>
                <w:i w:val="0"/>
                <w:color w:val="333333"/>
                <w:sz w:val="20"/>
              </w:rPr>
              <w:t xml:space="preserve"> 37.9% (31.6% to 46.3%)</w:t>
            </w:r>
            <w:r>
              <w:br/>
            </w:r>
            <w:r>
              <w:rPr>
                <w:rFonts w:ascii="Arial" w:hAnsi="Arial"/>
                <w:b w:val="0"/>
                <w:i w:val="0"/>
                <w:color w:val="333333"/>
                <w:sz w:val="20"/>
              </w:rPr>
              <w:t>Participant-associated</w:t>
            </w:r>
            <w:r>
              <w:rPr>
                <w:rFonts w:ascii="Arial" w:hAnsi="Arial"/>
                <w:b w:val="0"/>
                <w:i w:val="0"/>
                <w:color w:val="333333"/>
                <w:sz w:val="20"/>
              </w:rPr>
              <w:t xml:space="preserve"> 15.8% (9.7% to 22.3%)</w:t>
            </w:r>
          </w:p>
        </w:tc>
      </w:tr>
      <w:tr>
        <w:trPr>
          <w:cantSplit/>
        </w:trPr>
        <w:tc>
          <w:tcPr>
            <w:tcW w:type="dxa" w:w="1625"/>
            <w:vAlign w:val="center"/>
            <w:shd w:fill="FFFFFF" w:val="clear"/>
          </w:tcPr>
          <w:p>
            <w:pPr>
              <w:keepNext/>
              <w:keepLines/>
              <w:spacing w:before="0" w:after="0" w:line="240" w:lineRule="auto"/>
              <w:ind w:firstLine="0"/>
              <w:jc w:val="left"/>
            </w:pPr>
            <w:r/>
            <w:r>
              <w:rPr>
                <w:rFonts w:ascii="Arial" w:hAnsi="Arial"/>
                <w:b/>
                <w:i w:val="0"/>
                <w:color w:val="333333"/>
                <w:sz w:val="20"/>
              </w:rPr>
              <w:t>Mean timing of exposure above 250 lx melEDI</w:t>
            </w:r>
          </w:p>
        </w:tc>
        <w:tc>
          <w:tcPr>
            <w:tcW w:type="dxa" w:w="2375"/>
            <w:vAlign w:val="center"/>
            <w:shd w:fill="FFFFFF" w:val="clear"/>
          </w:tcPr>
          <w:p>
            <w:pPr>
              <w:keepNext/>
              <w:keepLines/>
              <w:spacing w:before="0" w:after="0" w:line="240" w:lineRule="auto"/>
              <w:ind w:firstLine="0"/>
              <w:jc w:val="left"/>
            </w:pPr>
            <w:r/>
            <w:r>
              <w:rPr>
                <w:rFonts w:ascii="Arial" w:hAnsi="Arial"/>
                <w:b w:val="0"/>
                <w:i w:val="0"/>
                <w:color w:val="333333"/>
                <w:sz w:val="20"/>
              </w:rPr>
              <w:t>Average bright-light timing; summarizes the phase of daily circadian stimulation.</w:t>
            </w:r>
          </w:p>
        </w:tc>
        <w:tc>
          <w:tcPr>
            <w:tcW w:type="dxa" w:w="1750"/>
            <w:vAlign w:val="center"/>
            <w:shd w:fill="FFFFFF" w:val="clear"/>
          </w:tcPr>
          <w:p>
            <w:pPr>
              <w:keepNext/>
              <w:keepLines/>
              <w:spacing w:before="0" w:after="0" w:line="240" w:lineRule="auto"/>
              <w:ind w:firstLine="0"/>
              <w:jc w:val="left"/>
            </w:pPr>
            <w:r/>
            <w:r>
              <w:rPr>
                <w:rFonts w:ascii="Arial" w:hAnsi="Arial"/>
                <w:b w:val="0"/>
                <w:i w:val="0"/>
                <w:color w:val="333333"/>
                <w:sz w:val="20"/>
              </w:rPr>
              <w:t>Unit</w:t>
            </w:r>
            <w:r>
              <w:rPr>
                <w:rFonts w:ascii="Arial" w:hAnsi="Arial"/>
                <w:b w:val="0"/>
                <w:i w:val="0"/>
                <w:color w:val="333333"/>
                <w:sz w:val="20"/>
              </w:rPr>
              <w:t xml:space="preserve"> clock time</w:t>
            </w:r>
            <w:r>
              <w:br/>
            </w:r>
            <w:r>
              <w:rPr>
                <w:rFonts w:ascii="Arial" w:hAnsi="Arial"/>
                <w:b w:val="0"/>
                <w:i w:val="0"/>
                <w:color w:val="333333"/>
                <w:sz w:val="20"/>
              </w:rPr>
              <w:t>Median</w:t>
            </w:r>
            <w:r>
              <w:rPr>
                <w:rFonts w:ascii="Arial" w:hAnsi="Arial"/>
                <w:b w:val="0"/>
                <w:i w:val="0"/>
                <w:color w:val="333333"/>
                <w:sz w:val="20"/>
              </w:rPr>
              <w:t xml:space="preserve"> 13:29</w:t>
            </w:r>
            <w:r>
              <w:br/>
            </w:r>
            <w:r>
              <w:rPr>
                <w:rFonts w:ascii="Arial" w:hAnsi="Arial"/>
                <w:b w:val="0"/>
                <w:i w:val="0"/>
                <w:color w:val="333333"/>
                <w:sz w:val="20"/>
              </w:rPr>
              <w:t>IQR</w:t>
            </w:r>
            <w:r>
              <w:rPr>
                <w:rFonts w:ascii="Arial" w:hAnsi="Arial"/>
                <w:b w:val="0"/>
                <w:i w:val="0"/>
                <w:color w:val="333333"/>
                <w:sz w:val="20"/>
              </w:rPr>
              <w:t xml:space="preserve"> 12:29 to 14:39</w:t>
            </w:r>
            <w:r>
              <w:br/>
            </w:r>
            <w:r>
              <w:rPr>
                <w:rFonts w:ascii="Arial" w:hAnsi="Arial"/>
                <w:b w:val="0"/>
                <w:i w:val="0"/>
                <w:color w:val="333333"/>
                <w:sz w:val="20"/>
              </w:rPr>
              <w:t>Participants</w:t>
            </w:r>
            <w:r>
              <w:rPr>
                <w:rFonts w:ascii="Arial" w:hAnsi="Arial"/>
                <w:b w:val="0"/>
                <w:i w:val="0"/>
                <w:color w:val="333333"/>
                <w:sz w:val="20"/>
              </w:rPr>
              <w:t xml:space="preserve"> 141</w:t>
            </w:r>
            <w:r>
              <w:br/>
            </w:r>
            <w:r>
              <w:rPr>
                <w:rFonts w:ascii="Arial" w:hAnsi="Arial"/>
                <w:b w:val="0"/>
                <w:i w:val="0"/>
                <w:color w:val="333333"/>
                <w:sz w:val="20"/>
              </w:rPr>
              <w:t>Days</w:t>
            </w:r>
            <w:r>
              <w:rPr>
                <w:rFonts w:ascii="Arial" w:hAnsi="Arial"/>
                <w:b w:val="0"/>
                <w:i w:val="0"/>
                <w:color w:val="333333"/>
                <w:sz w:val="20"/>
              </w:rPr>
              <w:t xml:space="preserve"> 742</w:t>
            </w:r>
          </w:p>
        </w:tc>
        <w:tc>
          <w:tcPr>
            <w:tcW w:type="dxa" w:w="1375"/>
            <w:vAlign w:val="center"/>
            <w:shd w:fill="FFFFFF" w:val="clear"/>
          </w:tcPr>
          <w:p>
            <w:pPr>
              <w:keepNext/>
              <w:keepLines/>
              <w:spacing w:before="0" w:after="0" w:line="240" w:lineRule="auto"/>
              <w:ind w:firstLine="0"/>
              <w:jc w:val="center"/>
            </w:pPr>
            <w:r/>
            <w:r>
              <w:drawing>
                <wp:inline xmlns:a="http://schemas.openxmlformats.org/drawingml/2006/main" xmlns:pic="http://schemas.openxmlformats.org/drawingml/2006/picture">
                  <wp:extent cx="781685" cy="312674"/>
                  <wp:docPr id="17" name="Picture 17" descr="Accepted site distribution thumbnail for Mean timing of exposure above 250 lx melEDI."/>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81685" cy="312674"/>
                          </a:xfrm>
                          <a:prstGeom prst="rect"/>
                        </pic:spPr>
                      </pic:pic>
                    </a:graphicData>
                  </a:graphic>
                </wp:inline>
              </w:drawing>
            </w:r>
          </w:p>
        </w:tc>
        <w:tc>
          <w:tcPr>
            <w:tcW w:type="dxa" w:w="1875"/>
            <w:vAlign w:val="center"/>
            <w:shd w:fill="FFFFFF" w:val="clear"/>
          </w:tcPr>
          <w:p>
            <w:pPr>
              <w:keepNext/>
              <w:keepLines/>
              <w:spacing w:before="0" w:after="0" w:line="240" w:lineRule="auto"/>
              <w:ind w:firstLine="0"/>
              <w:jc w:val="left"/>
            </w:pPr>
            <w:r/>
            <w:r>
              <w:rPr>
                <w:rFonts w:ascii="Arial" w:hAnsi="Arial"/>
                <w:b/>
                <w:i w:val="0"/>
                <w:color w:val="333333"/>
                <w:sz w:val="20"/>
              </w:rPr>
              <w:t>FDR</w:t>
            </w:r>
            <w:r>
              <w:rPr>
                <w:rFonts w:ascii="Arial" w:hAnsi="Arial"/>
                <w:b/>
                <w:i w:val="0"/>
                <w:color w:val="333333"/>
                <w:sz w:val="20"/>
              </w:rPr>
              <w:t xml:space="preserve"> supported; adjusted p &lt;0.001</w:t>
            </w:r>
            <w:r>
              <w:br/>
            </w:r>
            <w:r>
              <w:rPr>
                <w:rFonts w:ascii="Arial" w:hAnsi="Arial"/>
                <w:b w:val="0"/>
                <w:i w:val="0"/>
                <w:color w:val="333333"/>
                <w:sz w:val="20"/>
              </w:rPr>
              <w:t>Part R-squared</w:t>
            </w:r>
            <w:r>
              <w:rPr>
                <w:rFonts w:ascii="Arial" w:hAnsi="Arial"/>
                <w:b w:val="0"/>
                <w:i w:val="0"/>
                <w:color w:val="333333"/>
                <w:sz w:val="20"/>
              </w:rPr>
              <w:t xml:space="preserve"> 12.7% (9.4% to 19.2%)</w:t>
            </w:r>
          </w:p>
        </w:tc>
        <w:tc>
          <w:tcPr>
            <w:tcW w:type="dxa" w:w="2937"/>
            <w:vAlign w:val="center"/>
            <w:shd w:fill="FFFFFF" w:val="clear"/>
          </w:tcPr>
          <w:p>
            <w:pPr>
              <w:keepNext/>
              <w:keepLines/>
              <w:spacing w:before="0" w:after="0" w:line="240" w:lineRule="auto"/>
              <w:ind w:firstLine="0"/>
              <w:jc w:val="left"/>
            </w:pPr>
            <w:r/>
            <w:r>
              <w:rPr>
                <w:rFonts w:ascii="Arial" w:hAnsi="Arial"/>
                <w:b w:val="0"/>
                <w:i w:val="0"/>
                <w:color w:val="333333"/>
                <w:sz w:val="20"/>
              </w:rPr>
              <w:t>Estimate</w:t>
            </w:r>
            <w:r>
              <w:rPr>
                <w:rFonts w:ascii="Arial" w:hAnsi="Arial"/>
                <w:b w:val="0"/>
                <w:i w:val="0"/>
                <w:color w:val="333333"/>
                <w:sz w:val="20"/>
              </w:rPr>
              <w:t xml:space="preserve"> Difference per 1 h: 0.121 (0.028 to 0.213)</w:t>
            </w:r>
            <w:r>
              <w:br/>
            </w:r>
            <w:r>
              <w:rPr>
                <w:rFonts w:ascii="Arial" w:hAnsi="Arial"/>
                <w:b/>
                <w:i w:val="0"/>
                <w:color w:val="333333"/>
                <w:sz w:val="20"/>
              </w:rPr>
              <w:t>FDR</w:t>
            </w:r>
            <w:r>
              <w:rPr>
                <w:rFonts w:ascii="Arial" w:hAnsi="Arial"/>
                <w:b/>
                <w:i w:val="0"/>
                <w:color w:val="333333"/>
                <w:sz w:val="20"/>
              </w:rPr>
              <w:t xml:space="preserve"> supported; adjusted p 0.013</w:t>
            </w:r>
            <w:r>
              <w:br/>
            </w:r>
            <w:r>
              <w:rPr>
                <w:rFonts w:ascii="Arial" w:hAnsi="Arial"/>
                <w:b w:val="0"/>
                <w:i w:val="0"/>
                <w:color w:val="333333"/>
                <w:sz w:val="20"/>
              </w:rPr>
              <w:t>Part R-squared</w:t>
            </w:r>
            <w:r>
              <w:rPr>
                <w:rFonts w:ascii="Arial" w:hAnsi="Arial"/>
                <w:b w:val="0"/>
                <w:i w:val="0"/>
                <w:color w:val="333333"/>
                <w:sz w:val="20"/>
              </w:rPr>
              <w:t xml:space="preserve"> 1.2% (0.1% to 3.6%)</w:t>
            </w:r>
          </w:p>
        </w:tc>
        <w:tc>
          <w:tcPr>
            <w:tcW w:type="dxa" w:w="3312"/>
            <w:vAlign w:val="center"/>
            <w:shd w:fill="FFFFFF" w:val="clear"/>
          </w:tcPr>
          <w:p>
            <w:pPr>
              <w:keepNext/>
              <w:keepLines/>
              <w:spacing w:before="0" w:after="0" w:line="240" w:lineRule="auto"/>
              <w:ind w:firstLine="0"/>
              <w:jc w:val="left"/>
            </w:pPr>
            <w:r/>
            <w:r>
              <w:rPr>
                <w:rFonts w:ascii="Arial" w:hAnsi="Arial"/>
                <w:b w:val="0"/>
                <w:i w:val="0"/>
                <w:color w:val="333333"/>
                <w:sz w:val="20"/>
              </w:rPr>
              <w:t>Marginal</w:t>
            </w:r>
            <w:r>
              <w:rPr>
                <w:rFonts w:ascii="Arial" w:hAnsi="Arial"/>
                <w:b w:val="0"/>
                <w:i w:val="0"/>
                <w:color w:val="333333"/>
                <w:sz w:val="20"/>
              </w:rPr>
              <w:t xml:space="preserve"> 14.7% (10.7% to 21.9%)</w:t>
            </w:r>
            <w:r>
              <w:br/>
            </w:r>
            <w:r>
              <w:rPr>
                <w:rFonts w:ascii="Arial" w:hAnsi="Arial"/>
                <w:b w:val="0"/>
                <w:i w:val="0"/>
                <w:color w:val="333333"/>
                <w:sz w:val="20"/>
              </w:rPr>
              <w:t>Conditional</w:t>
            </w:r>
            <w:r>
              <w:rPr>
                <w:rFonts w:ascii="Arial" w:hAnsi="Arial"/>
                <w:b w:val="0"/>
                <w:i w:val="0"/>
                <w:color w:val="333333"/>
                <w:sz w:val="20"/>
              </w:rPr>
              <w:t xml:space="preserve"> 25.7% (19.8% to 34.2%)</w:t>
            </w:r>
            <w:r>
              <w:br/>
            </w:r>
            <w:r>
              <w:rPr>
                <w:rFonts w:ascii="Arial" w:hAnsi="Arial"/>
                <w:b w:val="0"/>
                <w:i w:val="0"/>
                <w:color w:val="333333"/>
                <w:sz w:val="20"/>
              </w:rPr>
              <w:t>Participant-associated</w:t>
            </w:r>
            <w:r>
              <w:rPr>
                <w:rFonts w:ascii="Arial" w:hAnsi="Arial"/>
                <w:b w:val="0"/>
                <w:i w:val="0"/>
                <w:color w:val="333333"/>
                <w:sz w:val="20"/>
              </w:rPr>
              <w:t xml:space="preserve"> 11.0% (5.3% to 17.2%)</w:t>
            </w:r>
          </w:p>
        </w:tc>
      </w:tr>
    </w:tbl>
    <w:p>
      <w:pPr>
        <w:keepNext w:val="0"/>
        <w:keepLines/>
        <w:spacing w:before="80" w:after="0" w:line="240" w:lineRule="auto"/>
        <w:ind w:firstLine="0"/>
        <w:jc w:val="left"/>
      </w:pPr>
      <w:r>
        <w:rPr>
          <w:rFonts w:ascii="Arial" w:hAnsi="Arial"/>
          <w:b w:val="0"/>
          <w:i w:val="0"/>
          <w:color w:val="444444"/>
          <w:sz w:val="18"/>
        </w:rPr>
        <w:t>Overall distributions are median (interquartile range). Participants is the participant count and Days is the participant-day count. Site and photoperiod part-R² values can contain overlapping fitted information and must not be summed. Participant-associated R² is the conditional-minus-marginal contribution associated with the participant random intercept and is undefined for participant-level outcomes. The MDER uses the mean of viable minute-level ratios in both the descriptive summary and geographic-association model cells.</w:t>
      </w:r>
    </w:p>
    <w:sectPr w:rsidR="00597312" w:rsidRPr="00791F7F" w:rsidSect="0000781E">
      <w:footerReference w:type="even" r:id="rId8"/>
      <w:footerReference w:type="default" r:id="rId9"/>
      <w:pgSz w:w="16834" w:h="11909" w:orient="landscape"/>
      <w:pgMar w:top="792" w:right="792" w:bottom="792" w:left="792"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4F332" w14:textId="77777777" w:rsidR="007B5F42" w:rsidRDefault="007B5F42" w:rsidP="00EF17F7">
      <w:r>
        <w:separator/>
      </w:r>
    </w:p>
  </w:endnote>
  <w:endnote w:type="continuationSeparator" w:id="0">
    <w:p w14:paraId="1DDC8D58" w14:textId="77777777" w:rsidR="007B5F42" w:rsidRDefault="007B5F42" w:rsidP="00EF17F7">
      <w:r>
        <w:continuationSeparator/>
      </w:r>
    </w:p>
  </w:endnote>
  <w:endnote w:type="continuationNotice" w:id="1">
    <w:p w14:paraId="48F03FBE" w14:textId="77777777" w:rsidR="007B5F42" w:rsidRDefault="007B5F42" w:rsidP="00EF1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811DD" w14:textId="77777777" w:rsidR="007B5F42" w:rsidRDefault="007B5F42" w:rsidP="00EF17F7">
      <w:r>
        <w:separator/>
      </w:r>
    </w:p>
  </w:footnote>
  <w:footnote w:type="continuationSeparator" w:id="0">
    <w:p w14:paraId="27E158F6" w14:textId="77777777" w:rsidR="007B5F42" w:rsidRDefault="007B5F42" w:rsidP="00EF17F7">
      <w:r>
        <w:continuationSeparator/>
      </w:r>
    </w:p>
  </w:footnote>
  <w:footnote w:type="continuationNotice" w:id="1">
    <w:p w14:paraId="2EF8A6AF" w14:textId="77777777" w:rsidR="007B5F42" w:rsidRDefault="007B5F42" w:rsidP="00EF17F7"/>
  </w:footnote>
</w:footnote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2A1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5E43AE6"/>
    <w:multiLevelType w:val="hybridMultilevel"/>
    <w:tmpl w:val="26C476BA"/>
    <w:lvl w:ilvl="0" w:tplc="C3181E0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910575"/>
    <w:multiLevelType w:val="multilevel"/>
    <w:tmpl w:val="FFEED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8031B"/>
    <w:multiLevelType w:val="hybridMultilevel"/>
    <w:tmpl w:val="07E88A52"/>
    <w:lvl w:ilvl="0" w:tplc="EED615BA">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670DB3"/>
    <w:multiLevelType w:val="multilevel"/>
    <w:tmpl w:val="784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D4288"/>
    <w:multiLevelType w:val="hybridMultilevel"/>
    <w:tmpl w:val="4580B032"/>
    <w:lvl w:ilvl="0" w:tplc="E2162596">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10315628"/>
    <w:multiLevelType w:val="hybridMultilevel"/>
    <w:tmpl w:val="930EE946"/>
    <w:lvl w:ilvl="0" w:tplc="8E2498DA">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0BF1998"/>
    <w:multiLevelType w:val="hybridMultilevel"/>
    <w:tmpl w:val="2CEEEDA0"/>
    <w:lvl w:ilvl="0" w:tplc="A6243E86">
      <w:start w:val="1"/>
      <w:numFmt w:val="bullet"/>
      <w:lvlText w:val="-"/>
      <w:lvlJc w:val="left"/>
      <w:pPr>
        <w:ind w:left="360" w:hanging="360"/>
      </w:pPr>
      <w:rPr>
        <w:rFonts w:ascii="Aptos" w:hAnsi="Apto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0EC570C"/>
    <w:multiLevelType w:val="hybridMultilevel"/>
    <w:tmpl w:val="FF74C9F4"/>
    <w:lvl w:ilvl="0" w:tplc="0436D5CE">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22A156D"/>
    <w:multiLevelType w:val="hybridMultilevel"/>
    <w:tmpl w:val="42ECA5E6"/>
    <w:lvl w:ilvl="0" w:tplc="DDBE4EAA">
      <w:start w:val="1"/>
      <w:numFmt w:val="bullet"/>
      <w:lvlText w:val=""/>
      <w:lvlJc w:val="left"/>
      <w:pPr>
        <w:ind w:left="720" w:hanging="360"/>
      </w:pPr>
      <w:rPr>
        <w:rFonts w:ascii="Symbol" w:hAnsi="Symbol" w:hint="default"/>
      </w:rPr>
    </w:lvl>
    <w:lvl w:ilvl="1" w:tplc="4948D1AE">
      <w:start w:val="1"/>
      <w:numFmt w:val="bullet"/>
      <w:lvlText w:val="o"/>
      <w:lvlJc w:val="left"/>
      <w:pPr>
        <w:ind w:left="1440" w:hanging="360"/>
      </w:pPr>
      <w:rPr>
        <w:rFonts w:ascii="Courier New" w:hAnsi="Courier New" w:hint="default"/>
      </w:rPr>
    </w:lvl>
    <w:lvl w:ilvl="2" w:tplc="C0B47104">
      <w:start w:val="1"/>
      <w:numFmt w:val="bullet"/>
      <w:lvlText w:val=""/>
      <w:lvlJc w:val="left"/>
      <w:pPr>
        <w:ind w:left="2160" w:hanging="360"/>
      </w:pPr>
      <w:rPr>
        <w:rFonts w:ascii="Wingdings" w:hAnsi="Wingdings" w:hint="default"/>
      </w:rPr>
    </w:lvl>
    <w:lvl w:ilvl="3" w:tplc="49581284">
      <w:start w:val="1"/>
      <w:numFmt w:val="bullet"/>
      <w:lvlText w:val=""/>
      <w:lvlJc w:val="left"/>
      <w:pPr>
        <w:ind w:left="2880" w:hanging="360"/>
      </w:pPr>
      <w:rPr>
        <w:rFonts w:ascii="Symbol" w:hAnsi="Symbol" w:hint="default"/>
      </w:rPr>
    </w:lvl>
    <w:lvl w:ilvl="4" w:tplc="D40C8B04">
      <w:start w:val="1"/>
      <w:numFmt w:val="bullet"/>
      <w:lvlText w:val="o"/>
      <w:lvlJc w:val="left"/>
      <w:pPr>
        <w:ind w:left="3600" w:hanging="360"/>
      </w:pPr>
      <w:rPr>
        <w:rFonts w:ascii="Courier New" w:hAnsi="Courier New" w:hint="default"/>
      </w:rPr>
    </w:lvl>
    <w:lvl w:ilvl="5" w:tplc="B7FE2D0A">
      <w:start w:val="1"/>
      <w:numFmt w:val="bullet"/>
      <w:lvlText w:val=""/>
      <w:lvlJc w:val="left"/>
      <w:pPr>
        <w:ind w:left="4320" w:hanging="360"/>
      </w:pPr>
      <w:rPr>
        <w:rFonts w:ascii="Wingdings" w:hAnsi="Wingdings" w:hint="default"/>
      </w:rPr>
    </w:lvl>
    <w:lvl w:ilvl="6" w:tplc="2E0AAC56">
      <w:start w:val="1"/>
      <w:numFmt w:val="bullet"/>
      <w:lvlText w:val=""/>
      <w:lvlJc w:val="left"/>
      <w:pPr>
        <w:ind w:left="5040" w:hanging="360"/>
      </w:pPr>
      <w:rPr>
        <w:rFonts w:ascii="Symbol" w:hAnsi="Symbol" w:hint="default"/>
      </w:rPr>
    </w:lvl>
    <w:lvl w:ilvl="7" w:tplc="E972442E">
      <w:start w:val="1"/>
      <w:numFmt w:val="bullet"/>
      <w:lvlText w:val="o"/>
      <w:lvlJc w:val="left"/>
      <w:pPr>
        <w:ind w:left="5760" w:hanging="360"/>
      </w:pPr>
      <w:rPr>
        <w:rFonts w:ascii="Courier New" w:hAnsi="Courier New" w:hint="default"/>
      </w:rPr>
    </w:lvl>
    <w:lvl w:ilvl="8" w:tplc="265CE730">
      <w:start w:val="1"/>
      <w:numFmt w:val="bullet"/>
      <w:lvlText w:val=""/>
      <w:lvlJc w:val="left"/>
      <w:pPr>
        <w:ind w:left="6480" w:hanging="360"/>
      </w:pPr>
      <w:rPr>
        <w:rFonts w:ascii="Wingdings" w:hAnsi="Wingdings" w:hint="default"/>
      </w:rPr>
    </w:lvl>
  </w:abstractNum>
  <w:abstractNum w:abstractNumId="10" w15:restartNumberingAfterBreak="0">
    <w:nsid w:val="140D6E59"/>
    <w:multiLevelType w:val="hybridMultilevel"/>
    <w:tmpl w:val="20666A36"/>
    <w:lvl w:ilvl="0" w:tplc="5E16CEC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71E0973"/>
    <w:multiLevelType w:val="hybridMultilevel"/>
    <w:tmpl w:val="197891B8"/>
    <w:lvl w:ilvl="0" w:tplc="85745BC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986EB9"/>
    <w:multiLevelType w:val="hybridMultilevel"/>
    <w:tmpl w:val="C7EAD8CE"/>
    <w:lvl w:ilvl="0" w:tplc="A31E26B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9552D8"/>
    <w:multiLevelType w:val="hybridMultilevel"/>
    <w:tmpl w:val="F0488EA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155631D"/>
    <w:multiLevelType w:val="hybridMultilevel"/>
    <w:tmpl w:val="3C4C8D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2A006AF"/>
    <w:multiLevelType w:val="hybridMultilevel"/>
    <w:tmpl w:val="CEEE25A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2B00411"/>
    <w:multiLevelType w:val="multilevel"/>
    <w:tmpl w:val="3BF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F603C0"/>
    <w:multiLevelType w:val="hybridMultilevel"/>
    <w:tmpl w:val="F98E624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2397A"/>
    <w:multiLevelType w:val="hybridMultilevel"/>
    <w:tmpl w:val="EB12C376"/>
    <w:lvl w:ilvl="0" w:tplc="47B675B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0B3DEB"/>
    <w:multiLevelType w:val="multilevel"/>
    <w:tmpl w:val="5696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ACA1F5"/>
    <w:multiLevelType w:val="hybridMultilevel"/>
    <w:tmpl w:val="45647C6A"/>
    <w:lvl w:ilvl="0" w:tplc="74E63CD0">
      <w:start w:val="1"/>
      <w:numFmt w:val="bullet"/>
      <w:lvlText w:val="-"/>
      <w:lvlJc w:val="left"/>
      <w:pPr>
        <w:ind w:left="360" w:hanging="360"/>
      </w:pPr>
      <w:rPr>
        <w:rFonts w:ascii="Aptos" w:hAnsi="Aptos" w:hint="default"/>
      </w:rPr>
    </w:lvl>
    <w:lvl w:ilvl="1" w:tplc="68FE704C">
      <w:start w:val="1"/>
      <w:numFmt w:val="bullet"/>
      <w:lvlText w:val="o"/>
      <w:lvlJc w:val="left"/>
      <w:pPr>
        <w:ind w:left="1080" w:hanging="360"/>
      </w:pPr>
      <w:rPr>
        <w:rFonts w:ascii="Courier New" w:hAnsi="Courier New" w:hint="default"/>
      </w:rPr>
    </w:lvl>
    <w:lvl w:ilvl="2" w:tplc="75F220CC">
      <w:start w:val="1"/>
      <w:numFmt w:val="bullet"/>
      <w:lvlText w:val=""/>
      <w:lvlJc w:val="left"/>
      <w:pPr>
        <w:ind w:left="1800" w:hanging="360"/>
      </w:pPr>
      <w:rPr>
        <w:rFonts w:ascii="Wingdings" w:hAnsi="Wingdings" w:hint="default"/>
      </w:rPr>
    </w:lvl>
    <w:lvl w:ilvl="3" w:tplc="7F685C68">
      <w:start w:val="1"/>
      <w:numFmt w:val="bullet"/>
      <w:lvlText w:val=""/>
      <w:lvlJc w:val="left"/>
      <w:pPr>
        <w:ind w:left="2520" w:hanging="360"/>
      </w:pPr>
      <w:rPr>
        <w:rFonts w:ascii="Symbol" w:hAnsi="Symbol" w:hint="default"/>
      </w:rPr>
    </w:lvl>
    <w:lvl w:ilvl="4" w:tplc="619C1C54">
      <w:start w:val="1"/>
      <w:numFmt w:val="bullet"/>
      <w:lvlText w:val="o"/>
      <w:lvlJc w:val="left"/>
      <w:pPr>
        <w:ind w:left="3240" w:hanging="360"/>
      </w:pPr>
      <w:rPr>
        <w:rFonts w:ascii="Courier New" w:hAnsi="Courier New" w:hint="default"/>
      </w:rPr>
    </w:lvl>
    <w:lvl w:ilvl="5" w:tplc="4A4A8B94">
      <w:start w:val="1"/>
      <w:numFmt w:val="bullet"/>
      <w:lvlText w:val=""/>
      <w:lvlJc w:val="left"/>
      <w:pPr>
        <w:ind w:left="3960" w:hanging="360"/>
      </w:pPr>
      <w:rPr>
        <w:rFonts w:ascii="Wingdings" w:hAnsi="Wingdings" w:hint="default"/>
      </w:rPr>
    </w:lvl>
    <w:lvl w:ilvl="6" w:tplc="4A6A5D56">
      <w:start w:val="1"/>
      <w:numFmt w:val="bullet"/>
      <w:lvlText w:val=""/>
      <w:lvlJc w:val="left"/>
      <w:pPr>
        <w:ind w:left="4680" w:hanging="360"/>
      </w:pPr>
      <w:rPr>
        <w:rFonts w:ascii="Symbol" w:hAnsi="Symbol" w:hint="default"/>
      </w:rPr>
    </w:lvl>
    <w:lvl w:ilvl="7" w:tplc="3C7CB84E">
      <w:start w:val="1"/>
      <w:numFmt w:val="bullet"/>
      <w:lvlText w:val="o"/>
      <w:lvlJc w:val="left"/>
      <w:pPr>
        <w:ind w:left="5400" w:hanging="360"/>
      </w:pPr>
      <w:rPr>
        <w:rFonts w:ascii="Courier New" w:hAnsi="Courier New" w:hint="default"/>
      </w:rPr>
    </w:lvl>
    <w:lvl w:ilvl="8" w:tplc="1B1C5644">
      <w:start w:val="1"/>
      <w:numFmt w:val="bullet"/>
      <w:lvlText w:val=""/>
      <w:lvlJc w:val="left"/>
      <w:pPr>
        <w:ind w:left="6120" w:hanging="360"/>
      </w:pPr>
      <w:rPr>
        <w:rFonts w:ascii="Wingdings" w:hAnsi="Wingdings" w:hint="default"/>
      </w:rPr>
    </w:lvl>
  </w:abstractNum>
  <w:abstractNum w:abstractNumId="21" w15:restartNumberingAfterBreak="0">
    <w:nsid w:val="2E3A3383"/>
    <w:multiLevelType w:val="multilevel"/>
    <w:tmpl w:val="A96E4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88264A"/>
    <w:multiLevelType w:val="hybridMultilevel"/>
    <w:tmpl w:val="97DA1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5CA4FD0"/>
    <w:multiLevelType w:val="hybridMultilevel"/>
    <w:tmpl w:val="05947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B8C1B6B"/>
    <w:multiLevelType w:val="hybridMultilevel"/>
    <w:tmpl w:val="A496A868"/>
    <w:lvl w:ilvl="0" w:tplc="98F0A384">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D4B1B7F"/>
    <w:multiLevelType w:val="multilevel"/>
    <w:tmpl w:val="3D70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202649"/>
    <w:multiLevelType w:val="hybridMultilevel"/>
    <w:tmpl w:val="D0D034E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7BC9F0"/>
    <w:multiLevelType w:val="hybridMultilevel"/>
    <w:tmpl w:val="A9D4AB90"/>
    <w:lvl w:ilvl="0" w:tplc="43381094">
      <w:start w:val="1"/>
      <w:numFmt w:val="bullet"/>
      <w:lvlText w:val=""/>
      <w:lvlJc w:val="left"/>
      <w:pPr>
        <w:ind w:left="720" w:hanging="360"/>
      </w:pPr>
      <w:rPr>
        <w:rFonts w:ascii="Symbol" w:hAnsi="Symbol" w:hint="default"/>
      </w:rPr>
    </w:lvl>
    <w:lvl w:ilvl="1" w:tplc="7E60C62E">
      <w:start w:val="1"/>
      <w:numFmt w:val="bullet"/>
      <w:lvlText w:val="o"/>
      <w:lvlJc w:val="left"/>
      <w:pPr>
        <w:ind w:left="1440" w:hanging="360"/>
      </w:pPr>
      <w:rPr>
        <w:rFonts w:ascii="Courier New" w:hAnsi="Courier New" w:hint="default"/>
      </w:rPr>
    </w:lvl>
    <w:lvl w:ilvl="2" w:tplc="8378FED0">
      <w:start w:val="1"/>
      <w:numFmt w:val="bullet"/>
      <w:lvlText w:val=""/>
      <w:lvlJc w:val="left"/>
      <w:pPr>
        <w:ind w:left="2160" w:hanging="360"/>
      </w:pPr>
      <w:rPr>
        <w:rFonts w:ascii="Wingdings" w:hAnsi="Wingdings" w:hint="default"/>
      </w:rPr>
    </w:lvl>
    <w:lvl w:ilvl="3" w:tplc="FF6A3BAA">
      <w:start w:val="1"/>
      <w:numFmt w:val="bullet"/>
      <w:lvlText w:val=""/>
      <w:lvlJc w:val="left"/>
      <w:pPr>
        <w:ind w:left="2880" w:hanging="360"/>
      </w:pPr>
      <w:rPr>
        <w:rFonts w:ascii="Symbol" w:hAnsi="Symbol" w:hint="default"/>
      </w:rPr>
    </w:lvl>
    <w:lvl w:ilvl="4" w:tplc="69DEE3C2">
      <w:start w:val="1"/>
      <w:numFmt w:val="bullet"/>
      <w:lvlText w:val="o"/>
      <w:lvlJc w:val="left"/>
      <w:pPr>
        <w:ind w:left="3600" w:hanging="360"/>
      </w:pPr>
      <w:rPr>
        <w:rFonts w:ascii="Courier New" w:hAnsi="Courier New" w:hint="default"/>
      </w:rPr>
    </w:lvl>
    <w:lvl w:ilvl="5" w:tplc="1046C74A">
      <w:start w:val="1"/>
      <w:numFmt w:val="bullet"/>
      <w:lvlText w:val=""/>
      <w:lvlJc w:val="left"/>
      <w:pPr>
        <w:ind w:left="4320" w:hanging="360"/>
      </w:pPr>
      <w:rPr>
        <w:rFonts w:ascii="Wingdings" w:hAnsi="Wingdings" w:hint="default"/>
      </w:rPr>
    </w:lvl>
    <w:lvl w:ilvl="6" w:tplc="FA6C9E36">
      <w:start w:val="1"/>
      <w:numFmt w:val="bullet"/>
      <w:lvlText w:val=""/>
      <w:lvlJc w:val="left"/>
      <w:pPr>
        <w:ind w:left="5040" w:hanging="360"/>
      </w:pPr>
      <w:rPr>
        <w:rFonts w:ascii="Symbol" w:hAnsi="Symbol" w:hint="default"/>
      </w:rPr>
    </w:lvl>
    <w:lvl w:ilvl="7" w:tplc="F76C8E52">
      <w:start w:val="1"/>
      <w:numFmt w:val="bullet"/>
      <w:lvlText w:val="o"/>
      <w:lvlJc w:val="left"/>
      <w:pPr>
        <w:ind w:left="5760" w:hanging="360"/>
      </w:pPr>
      <w:rPr>
        <w:rFonts w:ascii="Courier New" w:hAnsi="Courier New" w:hint="default"/>
      </w:rPr>
    </w:lvl>
    <w:lvl w:ilvl="8" w:tplc="824E6C26">
      <w:start w:val="1"/>
      <w:numFmt w:val="bullet"/>
      <w:lvlText w:val=""/>
      <w:lvlJc w:val="left"/>
      <w:pPr>
        <w:ind w:left="6480" w:hanging="360"/>
      </w:pPr>
      <w:rPr>
        <w:rFonts w:ascii="Wingdings" w:hAnsi="Wingdings" w:hint="default"/>
      </w:rPr>
    </w:lvl>
  </w:abstractNum>
  <w:abstractNum w:abstractNumId="28" w15:restartNumberingAfterBreak="0">
    <w:nsid w:val="4399D789"/>
    <w:multiLevelType w:val="hybridMultilevel"/>
    <w:tmpl w:val="5734DFC8"/>
    <w:lvl w:ilvl="0" w:tplc="98743722">
      <w:start w:val="1"/>
      <w:numFmt w:val="bullet"/>
      <w:lvlText w:val="-"/>
      <w:lvlJc w:val="left"/>
      <w:pPr>
        <w:ind w:left="360" w:hanging="360"/>
      </w:pPr>
      <w:rPr>
        <w:rFonts w:ascii="Aptos" w:hAnsi="Aptos" w:hint="default"/>
      </w:rPr>
    </w:lvl>
    <w:lvl w:ilvl="1" w:tplc="A6A483B4">
      <w:start w:val="1"/>
      <w:numFmt w:val="bullet"/>
      <w:lvlText w:val="o"/>
      <w:lvlJc w:val="left"/>
      <w:pPr>
        <w:ind w:left="1080" w:hanging="360"/>
      </w:pPr>
      <w:rPr>
        <w:rFonts w:ascii="Courier New" w:hAnsi="Courier New" w:hint="default"/>
      </w:rPr>
    </w:lvl>
    <w:lvl w:ilvl="2" w:tplc="30CA2F54">
      <w:start w:val="1"/>
      <w:numFmt w:val="bullet"/>
      <w:lvlText w:val=""/>
      <w:lvlJc w:val="left"/>
      <w:pPr>
        <w:ind w:left="1800" w:hanging="360"/>
      </w:pPr>
      <w:rPr>
        <w:rFonts w:ascii="Wingdings" w:hAnsi="Wingdings" w:hint="default"/>
      </w:rPr>
    </w:lvl>
    <w:lvl w:ilvl="3" w:tplc="1E7A8386">
      <w:start w:val="1"/>
      <w:numFmt w:val="bullet"/>
      <w:lvlText w:val=""/>
      <w:lvlJc w:val="left"/>
      <w:pPr>
        <w:ind w:left="2520" w:hanging="360"/>
      </w:pPr>
      <w:rPr>
        <w:rFonts w:ascii="Symbol" w:hAnsi="Symbol" w:hint="default"/>
      </w:rPr>
    </w:lvl>
    <w:lvl w:ilvl="4" w:tplc="291EB29A">
      <w:start w:val="1"/>
      <w:numFmt w:val="bullet"/>
      <w:lvlText w:val="o"/>
      <w:lvlJc w:val="left"/>
      <w:pPr>
        <w:ind w:left="3240" w:hanging="360"/>
      </w:pPr>
      <w:rPr>
        <w:rFonts w:ascii="Courier New" w:hAnsi="Courier New" w:hint="default"/>
      </w:rPr>
    </w:lvl>
    <w:lvl w:ilvl="5" w:tplc="4A0E6C2A">
      <w:start w:val="1"/>
      <w:numFmt w:val="bullet"/>
      <w:lvlText w:val=""/>
      <w:lvlJc w:val="left"/>
      <w:pPr>
        <w:ind w:left="3960" w:hanging="360"/>
      </w:pPr>
      <w:rPr>
        <w:rFonts w:ascii="Wingdings" w:hAnsi="Wingdings" w:hint="default"/>
      </w:rPr>
    </w:lvl>
    <w:lvl w:ilvl="6" w:tplc="F16A379C">
      <w:start w:val="1"/>
      <w:numFmt w:val="bullet"/>
      <w:lvlText w:val=""/>
      <w:lvlJc w:val="left"/>
      <w:pPr>
        <w:ind w:left="4680" w:hanging="360"/>
      </w:pPr>
      <w:rPr>
        <w:rFonts w:ascii="Symbol" w:hAnsi="Symbol" w:hint="default"/>
      </w:rPr>
    </w:lvl>
    <w:lvl w:ilvl="7" w:tplc="C362FDA6">
      <w:start w:val="1"/>
      <w:numFmt w:val="bullet"/>
      <w:lvlText w:val="o"/>
      <w:lvlJc w:val="left"/>
      <w:pPr>
        <w:ind w:left="5400" w:hanging="360"/>
      </w:pPr>
      <w:rPr>
        <w:rFonts w:ascii="Courier New" w:hAnsi="Courier New" w:hint="default"/>
      </w:rPr>
    </w:lvl>
    <w:lvl w:ilvl="8" w:tplc="658E7AB4">
      <w:start w:val="1"/>
      <w:numFmt w:val="bullet"/>
      <w:lvlText w:val=""/>
      <w:lvlJc w:val="left"/>
      <w:pPr>
        <w:ind w:left="6120" w:hanging="360"/>
      </w:pPr>
      <w:rPr>
        <w:rFonts w:ascii="Wingdings" w:hAnsi="Wingdings" w:hint="default"/>
      </w:rPr>
    </w:lvl>
  </w:abstractNum>
  <w:abstractNum w:abstractNumId="29" w15:restartNumberingAfterBreak="0">
    <w:nsid w:val="44483C17"/>
    <w:multiLevelType w:val="multilevel"/>
    <w:tmpl w:val="FF480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E5FDC9"/>
    <w:multiLevelType w:val="hybridMultilevel"/>
    <w:tmpl w:val="495CC8A0"/>
    <w:lvl w:ilvl="0" w:tplc="60FE6FA2">
      <w:start w:val="1"/>
      <w:numFmt w:val="bullet"/>
      <w:lvlText w:val=""/>
      <w:lvlJc w:val="left"/>
      <w:pPr>
        <w:ind w:left="720" w:hanging="360"/>
      </w:pPr>
      <w:rPr>
        <w:rFonts w:ascii="Symbol" w:hAnsi="Symbol" w:hint="default"/>
      </w:rPr>
    </w:lvl>
    <w:lvl w:ilvl="1" w:tplc="1CF073FA">
      <w:start w:val="1"/>
      <w:numFmt w:val="bullet"/>
      <w:lvlText w:val="o"/>
      <w:lvlJc w:val="left"/>
      <w:pPr>
        <w:ind w:left="1440" w:hanging="360"/>
      </w:pPr>
      <w:rPr>
        <w:rFonts w:ascii="Courier New" w:hAnsi="Courier New" w:hint="default"/>
      </w:rPr>
    </w:lvl>
    <w:lvl w:ilvl="2" w:tplc="D8000CF6">
      <w:start w:val="1"/>
      <w:numFmt w:val="bullet"/>
      <w:lvlText w:val=""/>
      <w:lvlJc w:val="left"/>
      <w:pPr>
        <w:ind w:left="2160" w:hanging="360"/>
      </w:pPr>
      <w:rPr>
        <w:rFonts w:ascii="Wingdings" w:hAnsi="Wingdings" w:hint="default"/>
      </w:rPr>
    </w:lvl>
    <w:lvl w:ilvl="3" w:tplc="94342E94">
      <w:start w:val="1"/>
      <w:numFmt w:val="bullet"/>
      <w:lvlText w:val=""/>
      <w:lvlJc w:val="left"/>
      <w:pPr>
        <w:ind w:left="2880" w:hanging="360"/>
      </w:pPr>
      <w:rPr>
        <w:rFonts w:ascii="Symbol" w:hAnsi="Symbol" w:hint="default"/>
      </w:rPr>
    </w:lvl>
    <w:lvl w:ilvl="4" w:tplc="354E512A">
      <w:start w:val="1"/>
      <w:numFmt w:val="bullet"/>
      <w:lvlText w:val="o"/>
      <w:lvlJc w:val="left"/>
      <w:pPr>
        <w:ind w:left="3600" w:hanging="360"/>
      </w:pPr>
      <w:rPr>
        <w:rFonts w:ascii="Courier New" w:hAnsi="Courier New" w:hint="default"/>
      </w:rPr>
    </w:lvl>
    <w:lvl w:ilvl="5" w:tplc="131438D0">
      <w:start w:val="1"/>
      <w:numFmt w:val="bullet"/>
      <w:lvlText w:val=""/>
      <w:lvlJc w:val="left"/>
      <w:pPr>
        <w:ind w:left="4320" w:hanging="360"/>
      </w:pPr>
      <w:rPr>
        <w:rFonts w:ascii="Wingdings" w:hAnsi="Wingdings" w:hint="default"/>
      </w:rPr>
    </w:lvl>
    <w:lvl w:ilvl="6" w:tplc="09D459DC">
      <w:start w:val="1"/>
      <w:numFmt w:val="bullet"/>
      <w:lvlText w:val=""/>
      <w:lvlJc w:val="left"/>
      <w:pPr>
        <w:ind w:left="5040" w:hanging="360"/>
      </w:pPr>
      <w:rPr>
        <w:rFonts w:ascii="Symbol" w:hAnsi="Symbol" w:hint="default"/>
      </w:rPr>
    </w:lvl>
    <w:lvl w:ilvl="7" w:tplc="B0BA569E">
      <w:start w:val="1"/>
      <w:numFmt w:val="bullet"/>
      <w:lvlText w:val="o"/>
      <w:lvlJc w:val="left"/>
      <w:pPr>
        <w:ind w:left="5760" w:hanging="360"/>
      </w:pPr>
      <w:rPr>
        <w:rFonts w:ascii="Courier New" w:hAnsi="Courier New" w:hint="default"/>
      </w:rPr>
    </w:lvl>
    <w:lvl w:ilvl="8" w:tplc="4580CD16">
      <w:start w:val="1"/>
      <w:numFmt w:val="bullet"/>
      <w:lvlText w:val=""/>
      <w:lvlJc w:val="left"/>
      <w:pPr>
        <w:ind w:left="6480" w:hanging="360"/>
      </w:pPr>
      <w:rPr>
        <w:rFonts w:ascii="Wingdings" w:hAnsi="Wingdings" w:hint="default"/>
      </w:rPr>
    </w:lvl>
  </w:abstractNum>
  <w:abstractNum w:abstractNumId="31" w15:restartNumberingAfterBreak="0">
    <w:nsid w:val="45EA6C73"/>
    <w:multiLevelType w:val="hybridMultilevel"/>
    <w:tmpl w:val="728609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2" w15:restartNumberingAfterBreak="0">
    <w:nsid w:val="46697F9E"/>
    <w:multiLevelType w:val="multilevel"/>
    <w:tmpl w:val="57D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9C256AC"/>
    <w:multiLevelType w:val="multilevel"/>
    <w:tmpl w:val="9ECA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0E6ADC"/>
    <w:multiLevelType w:val="multilevel"/>
    <w:tmpl w:val="AAA0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072FF0"/>
    <w:multiLevelType w:val="hybridMultilevel"/>
    <w:tmpl w:val="69622D50"/>
    <w:lvl w:ilvl="0" w:tplc="CAF4858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7BA4136"/>
    <w:multiLevelType w:val="hybridMultilevel"/>
    <w:tmpl w:val="B47C8D9C"/>
    <w:lvl w:ilvl="0" w:tplc="7E18FB2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7" w15:restartNumberingAfterBreak="0">
    <w:nsid w:val="58D66121"/>
    <w:multiLevelType w:val="multilevel"/>
    <w:tmpl w:val="160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3B6A55"/>
    <w:multiLevelType w:val="hybridMultilevel"/>
    <w:tmpl w:val="9BEAFD06"/>
    <w:lvl w:ilvl="0" w:tplc="87E4B014">
      <w:start w:val="1"/>
      <w:numFmt w:val="bullet"/>
      <w:lvlText w:val=""/>
      <w:lvlJc w:val="left"/>
      <w:pPr>
        <w:ind w:left="720" w:hanging="360"/>
      </w:pPr>
      <w:rPr>
        <w:rFonts w:ascii="Symbol" w:hAnsi="Symbol" w:hint="default"/>
      </w:rPr>
    </w:lvl>
    <w:lvl w:ilvl="1" w:tplc="866A18E4">
      <w:start w:val="1"/>
      <w:numFmt w:val="bullet"/>
      <w:lvlText w:val="o"/>
      <w:lvlJc w:val="left"/>
      <w:pPr>
        <w:ind w:left="1440" w:hanging="360"/>
      </w:pPr>
      <w:rPr>
        <w:rFonts w:ascii="Courier New" w:hAnsi="Courier New" w:hint="default"/>
      </w:rPr>
    </w:lvl>
    <w:lvl w:ilvl="2" w:tplc="44E449F4">
      <w:start w:val="1"/>
      <w:numFmt w:val="bullet"/>
      <w:lvlText w:val=""/>
      <w:lvlJc w:val="left"/>
      <w:pPr>
        <w:ind w:left="2160" w:hanging="360"/>
      </w:pPr>
      <w:rPr>
        <w:rFonts w:ascii="Wingdings" w:hAnsi="Wingdings" w:hint="default"/>
      </w:rPr>
    </w:lvl>
    <w:lvl w:ilvl="3" w:tplc="A19C7B6A">
      <w:start w:val="1"/>
      <w:numFmt w:val="bullet"/>
      <w:lvlText w:val=""/>
      <w:lvlJc w:val="left"/>
      <w:pPr>
        <w:ind w:left="2880" w:hanging="360"/>
      </w:pPr>
      <w:rPr>
        <w:rFonts w:ascii="Symbol" w:hAnsi="Symbol" w:hint="default"/>
      </w:rPr>
    </w:lvl>
    <w:lvl w:ilvl="4" w:tplc="ED56A25E">
      <w:start w:val="1"/>
      <w:numFmt w:val="bullet"/>
      <w:lvlText w:val="o"/>
      <w:lvlJc w:val="left"/>
      <w:pPr>
        <w:ind w:left="3600" w:hanging="360"/>
      </w:pPr>
      <w:rPr>
        <w:rFonts w:ascii="Courier New" w:hAnsi="Courier New" w:hint="default"/>
      </w:rPr>
    </w:lvl>
    <w:lvl w:ilvl="5" w:tplc="5712CDE6">
      <w:start w:val="1"/>
      <w:numFmt w:val="bullet"/>
      <w:lvlText w:val=""/>
      <w:lvlJc w:val="left"/>
      <w:pPr>
        <w:ind w:left="4320" w:hanging="360"/>
      </w:pPr>
      <w:rPr>
        <w:rFonts w:ascii="Wingdings" w:hAnsi="Wingdings" w:hint="default"/>
      </w:rPr>
    </w:lvl>
    <w:lvl w:ilvl="6" w:tplc="8288FE6C">
      <w:start w:val="1"/>
      <w:numFmt w:val="bullet"/>
      <w:lvlText w:val=""/>
      <w:lvlJc w:val="left"/>
      <w:pPr>
        <w:ind w:left="5040" w:hanging="360"/>
      </w:pPr>
      <w:rPr>
        <w:rFonts w:ascii="Symbol" w:hAnsi="Symbol" w:hint="default"/>
      </w:rPr>
    </w:lvl>
    <w:lvl w:ilvl="7" w:tplc="29BA192C">
      <w:start w:val="1"/>
      <w:numFmt w:val="bullet"/>
      <w:lvlText w:val="o"/>
      <w:lvlJc w:val="left"/>
      <w:pPr>
        <w:ind w:left="5760" w:hanging="360"/>
      </w:pPr>
      <w:rPr>
        <w:rFonts w:ascii="Courier New" w:hAnsi="Courier New" w:hint="default"/>
      </w:rPr>
    </w:lvl>
    <w:lvl w:ilvl="8" w:tplc="F828DACA">
      <w:start w:val="1"/>
      <w:numFmt w:val="bullet"/>
      <w:lvlText w:val=""/>
      <w:lvlJc w:val="left"/>
      <w:pPr>
        <w:ind w:left="6480" w:hanging="360"/>
      </w:pPr>
      <w:rPr>
        <w:rFonts w:ascii="Wingdings" w:hAnsi="Wingdings" w:hint="default"/>
      </w:rPr>
    </w:lvl>
  </w:abstractNum>
  <w:abstractNum w:abstractNumId="39" w15:restartNumberingAfterBreak="0">
    <w:nsid w:val="5CEE5383"/>
    <w:multiLevelType w:val="hybridMultilevel"/>
    <w:tmpl w:val="883AB9A6"/>
    <w:lvl w:ilvl="0" w:tplc="0E842A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EB92B67"/>
    <w:multiLevelType w:val="hybridMultilevel"/>
    <w:tmpl w:val="07189ECC"/>
    <w:lvl w:ilvl="0" w:tplc="75A605F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5FF165F9"/>
    <w:multiLevelType w:val="hybridMultilevel"/>
    <w:tmpl w:val="631E0768"/>
    <w:lvl w:ilvl="0" w:tplc="59462A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0003784"/>
    <w:multiLevelType w:val="hybridMultilevel"/>
    <w:tmpl w:val="3766B936"/>
    <w:lvl w:ilvl="0" w:tplc="2A880BE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D449F5"/>
    <w:multiLevelType w:val="hybridMultilevel"/>
    <w:tmpl w:val="E9DE8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41130FD"/>
    <w:multiLevelType w:val="multilevel"/>
    <w:tmpl w:val="2FF086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4661DE"/>
    <w:multiLevelType w:val="hybridMultilevel"/>
    <w:tmpl w:val="4490DB1A"/>
    <w:lvl w:ilvl="0" w:tplc="0BAAE9E2">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672951E7"/>
    <w:multiLevelType w:val="multilevel"/>
    <w:tmpl w:val="8FFC3816"/>
    <w:lvl w:ilvl="0">
      <w:start w:val="2"/>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D37922"/>
    <w:multiLevelType w:val="hybridMultilevel"/>
    <w:tmpl w:val="EB1085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6DD43C56"/>
    <w:multiLevelType w:val="hybridMultilevel"/>
    <w:tmpl w:val="B2D8BA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705B2B08"/>
    <w:multiLevelType w:val="hybridMultilevel"/>
    <w:tmpl w:val="32CC0FBA"/>
    <w:lvl w:ilvl="0" w:tplc="200CB07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739B51B8"/>
    <w:multiLevelType w:val="hybridMultilevel"/>
    <w:tmpl w:val="7042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42927A3"/>
    <w:multiLevelType w:val="multilevel"/>
    <w:tmpl w:val="90A2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2" w15:restartNumberingAfterBreak="0">
    <w:nsid w:val="75BF521B"/>
    <w:multiLevelType w:val="hybridMultilevel"/>
    <w:tmpl w:val="21FC07F6"/>
    <w:lvl w:ilvl="0" w:tplc="BB647A28">
      <w:start w:val="1"/>
      <w:numFmt w:val="bullet"/>
      <w:lvlText w:val=""/>
      <w:lvlJc w:val="left"/>
      <w:pPr>
        <w:ind w:left="720" w:hanging="360"/>
      </w:pPr>
      <w:rPr>
        <w:rFonts w:ascii="Symbol" w:hAnsi="Symbol" w:hint="default"/>
        <w:color w:val="000000" w:themeColor="text1"/>
      </w:rPr>
    </w:lvl>
    <w:lvl w:ilvl="1" w:tplc="00CAC7B8">
      <w:start w:val="1"/>
      <w:numFmt w:val="bullet"/>
      <w:lvlText w:val="o"/>
      <w:lvlJc w:val="left"/>
      <w:pPr>
        <w:ind w:left="1440" w:hanging="360"/>
      </w:pPr>
      <w:rPr>
        <w:rFonts w:ascii="Courier New" w:hAnsi="Courier New" w:hint="default"/>
      </w:rPr>
    </w:lvl>
    <w:lvl w:ilvl="2" w:tplc="58EA85FE">
      <w:start w:val="1"/>
      <w:numFmt w:val="bullet"/>
      <w:lvlText w:val=""/>
      <w:lvlJc w:val="left"/>
      <w:pPr>
        <w:ind w:left="2160" w:hanging="360"/>
      </w:pPr>
      <w:rPr>
        <w:rFonts w:ascii="Wingdings" w:hAnsi="Wingdings" w:hint="default"/>
      </w:rPr>
    </w:lvl>
    <w:lvl w:ilvl="3" w:tplc="F65495BA">
      <w:start w:val="1"/>
      <w:numFmt w:val="bullet"/>
      <w:lvlText w:val=""/>
      <w:lvlJc w:val="left"/>
      <w:pPr>
        <w:ind w:left="2880" w:hanging="360"/>
      </w:pPr>
      <w:rPr>
        <w:rFonts w:ascii="Symbol" w:hAnsi="Symbol" w:hint="default"/>
      </w:rPr>
    </w:lvl>
    <w:lvl w:ilvl="4" w:tplc="A66299A8">
      <w:start w:val="1"/>
      <w:numFmt w:val="bullet"/>
      <w:lvlText w:val="o"/>
      <w:lvlJc w:val="left"/>
      <w:pPr>
        <w:ind w:left="3600" w:hanging="360"/>
      </w:pPr>
      <w:rPr>
        <w:rFonts w:ascii="Courier New" w:hAnsi="Courier New" w:hint="default"/>
      </w:rPr>
    </w:lvl>
    <w:lvl w:ilvl="5" w:tplc="49A0FB78">
      <w:start w:val="1"/>
      <w:numFmt w:val="bullet"/>
      <w:lvlText w:val=""/>
      <w:lvlJc w:val="left"/>
      <w:pPr>
        <w:ind w:left="4320" w:hanging="360"/>
      </w:pPr>
      <w:rPr>
        <w:rFonts w:ascii="Wingdings" w:hAnsi="Wingdings" w:hint="default"/>
      </w:rPr>
    </w:lvl>
    <w:lvl w:ilvl="6" w:tplc="E13A114E">
      <w:start w:val="1"/>
      <w:numFmt w:val="bullet"/>
      <w:lvlText w:val=""/>
      <w:lvlJc w:val="left"/>
      <w:pPr>
        <w:ind w:left="5040" w:hanging="360"/>
      </w:pPr>
      <w:rPr>
        <w:rFonts w:ascii="Symbol" w:hAnsi="Symbol" w:hint="default"/>
      </w:rPr>
    </w:lvl>
    <w:lvl w:ilvl="7" w:tplc="2D00AAAE">
      <w:start w:val="1"/>
      <w:numFmt w:val="bullet"/>
      <w:lvlText w:val="o"/>
      <w:lvlJc w:val="left"/>
      <w:pPr>
        <w:ind w:left="5760" w:hanging="360"/>
      </w:pPr>
      <w:rPr>
        <w:rFonts w:ascii="Courier New" w:hAnsi="Courier New" w:hint="default"/>
      </w:rPr>
    </w:lvl>
    <w:lvl w:ilvl="8" w:tplc="4798E492">
      <w:start w:val="1"/>
      <w:numFmt w:val="bullet"/>
      <w:lvlText w:val=""/>
      <w:lvlJc w:val="left"/>
      <w:pPr>
        <w:ind w:left="6480" w:hanging="360"/>
      </w:pPr>
      <w:rPr>
        <w:rFonts w:ascii="Wingdings" w:hAnsi="Wingdings" w:hint="default"/>
      </w:rPr>
    </w:lvl>
  </w:abstractNum>
  <w:abstractNum w:abstractNumId="53" w15:restartNumberingAfterBreak="0">
    <w:nsid w:val="784C4D3C"/>
    <w:multiLevelType w:val="multilevel"/>
    <w:tmpl w:val="7628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B57E2D6"/>
    <w:multiLevelType w:val="hybridMultilevel"/>
    <w:tmpl w:val="6E149402"/>
    <w:lvl w:ilvl="0" w:tplc="A6243E86">
      <w:start w:val="1"/>
      <w:numFmt w:val="bullet"/>
      <w:lvlText w:val="-"/>
      <w:lvlJc w:val="left"/>
      <w:pPr>
        <w:ind w:left="360" w:hanging="360"/>
      </w:pPr>
      <w:rPr>
        <w:rFonts w:ascii="Aptos" w:hAnsi="Aptos" w:hint="default"/>
      </w:rPr>
    </w:lvl>
    <w:lvl w:ilvl="1" w:tplc="E7CC356A">
      <w:start w:val="1"/>
      <w:numFmt w:val="bullet"/>
      <w:lvlText w:val="o"/>
      <w:lvlJc w:val="left"/>
      <w:pPr>
        <w:ind w:left="1080" w:hanging="360"/>
      </w:pPr>
      <w:rPr>
        <w:rFonts w:ascii="Courier New" w:hAnsi="Courier New" w:hint="default"/>
      </w:rPr>
    </w:lvl>
    <w:lvl w:ilvl="2" w:tplc="786C2BE2">
      <w:start w:val="1"/>
      <w:numFmt w:val="bullet"/>
      <w:lvlText w:val=""/>
      <w:lvlJc w:val="left"/>
      <w:pPr>
        <w:ind w:left="1800" w:hanging="360"/>
      </w:pPr>
      <w:rPr>
        <w:rFonts w:ascii="Wingdings" w:hAnsi="Wingdings" w:hint="default"/>
      </w:rPr>
    </w:lvl>
    <w:lvl w:ilvl="3" w:tplc="D8CEE610">
      <w:start w:val="1"/>
      <w:numFmt w:val="bullet"/>
      <w:lvlText w:val=""/>
      <w:lvlJc w:val="left"/>
      <w:pPr>
        <w:ind w:left="2520" w:hanging="360"/>
      </w:pPr>
      <w:rPr>
        <w:rFonts w:ascii="Symbol" w:hAnsi="Symbol" w:hint="default"/>
      </w:rPr>
    </w:lvl>
    <w:lvl w:ilvl="4" w:tplc="94BC5A96">
      <w:start w:val="1"/>
      <w:numFmt w:val="bullet"/>
      <w:lvlText w:val="o"/>
      <w:lvlJc w:val="left"/>
      <w:pPr>
        <w:ind w:left="3240" w:hanging="360"/>
      </w:pPr>
      <w:rPr>
        <w:rFonts w:ascii="Courier New" w:hAnsi="Courier New" w:hint="default"/>
      </w:rPr>
    </w:lvl>
    <w:lvl w:ilvl="5" w:tplc="94DAF86A">
      <w:start w:val="1"/>
      <w:numFmt w:val="bullet"/>
      <w:lvlText w:val=""/>
      <w:lvlJc w:val="left"/>
      <w:pPr>
        <w:ind w:left="3960" w:hanging="360"/>
      </w:pPr>
      <w:rPr>
        <w:rFonts w:ascii="Wingdings" w:hAnsi="Wingdings" w:hint="default"/>
      </w:rPr>
    </w:lvl>
    <w:lvl w:ilvl="6" w:tplc="93943FA6">
      <w:start w:val="1"/>
      <w:numFmt w:val="bullet"/>
      <w:lvlText w:val=""/>
      <w:lvlJc w:val="left"/>
      <w:pPr>
        <w:ind w:left="4680" w:hanging="360"/>
      </w:pPr>
      <w:rPr>
        <w:rFonts w:ascii="Symbol" w:hAnsi="Symbol" w:hint="default"/>
      </w:rPr>
    </w:lvl>
    <w:lvl w:ilvl="7" w:tplc="2F44C476">
      <w:start w:val="1"/>
      <w:numFmt w:val="bullet"/>
      <w:lvlText w:val="o"/>
      <w:lvlJc w:val="left"/>
      <w:pPr>
        <w:ind w:left="5400" w:hanging="360"/>
      </w:pPr>
      <w:rPr>
        <w:rFonts w:ascii="Courier New" w:hAnsi="Courier New" w:hint="default"/>
      </w:rPr>
    </w:lvl>
    <w:lvl w:ilvl="8" w:tplc="7C706BC0">
      <w:start w:val="1"/>
      <w:numFmt w:val="bullet"/>
      <w:lvlText w:val=""/>
      <w:lvlJc w:val="left"/>
      <w:pPr>
        <w:ind w:left="6120" w:hanging="360"/>
      </w:pPr>
      <w:rPr>
        <w:rFonts w:ascii="Wingdings" w:hAnsi="Wingdings" w:hint="default"/>
      </w:rPr>
    </w:lvl>
  </w:abstractNum>
  <w:abstractNum w:abstractNumId="55" w15:restartNumberingAfterBreak="0">
    <w:nsid w:val="7E537942"/>
    <w:multiLevelType w:val="hybridMultilevel"/>
    <w:tmpl w:val="318C191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6" w15:restartNumberingAfterBreak="0">
    <w:nsid w:val="7F4E38E3"/>
    <w:multiLevelType w:val="multilevel"/>
    <w:tmpl w:val="2606F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5234">
    <w:abstractNumId w:val="30"/>
  </w:num>
  <w:num w:numId="2" w16cid:durableId="942372324">
    <w:abstractNumId w:val="52"/>
  </w:num>
  <w:num w:numId="3" w16cid:durableId="262298673">
    <w:abstractNumId w:val="9"/>
  </w:num>
  <w:num w:numId="4" w16cid:durableId="1124426162">
    <w:abstractNumId w:val="28"/>
  </w:num>
  <w:num w:numId="5" w16cid:durableId="54596677">
    <w:abstractNumId w:val="20"/>
  </w:num>
  <w:num w:numId="6" w16cid:durableId="1921254496">
    <w:abstractNumId w:val="54"/>
  </w:num>
  <w:num w:numId="7" w16cid:durableId="853690668">
    <w:abstractNumId w:val="38"/>
  </w:num>
  <w:num w:numId="8" w16cid:durableId="1826047464">
    <w:abstractNumId w:val="27"/>
  </w:num>
  <w:num w:numId="9" w16cid:durableId="827287511">
    <w:abstractNumId w:val="33"/>
  </w:num>
  <w:num w:numId="10" w16cid:durableId="665522998">
    <w:abstractNumId w:val="19"/>
  </w:num>
  <w:num w:numId="11" w16cid:durableId="1246766847">
    <w:abstractNumId w:val="53"/>
  </w:num>
  <w:num w:numId="12" w16cid:durableId="1494183803">
    <w:abstractNumId w:val="16"/>
  </w:num>
  <w:num w:numId="13" w16cid:durableId="1733844440">
    <w:abstractNumId w:val="32"/>
  </w:num>
  <w:num w:numId="14" w16cid:durableId="782725366">
    <w:abstractNumId w:val="51"/>
  </w:num>
  <w:num w:numId="15" w16cid:durableId="1251354143">
    <w:abstractNumId w:val="34"/>
  </w:num>
  <w:num w:numId="16" w16cid:durableId="1199271168">
    <w:abstractNumId w:val="43"/>
  </w:num>
  <w:num w:numId="17" w16cid:durableId="1018117998">
    <w:abstractNumId w:val="17"/>
  </w:num>
  <w:num w:numId="18" w16cid:durableId="293214422">
    <w:abstractNumId w:val="45"/>
  </w:num>
  <w:num w:numId="19" w16cid:durableId="2035303408">
    <w:abstractNumId w:val="14"/>
  </w:num>
  <w:num w:numId="20" w16cid:durableId="1113787491">
    <w:abstractNumId w:val="35"/>
  </w:num>
  <w:num w:numId="21" w16cid:durableId="1408309337">
    <w:abstractNumId w:val="37"/>
  </w:num>
  <w:num w:numId="22" w16cid:durableId="778716432">
    <w:abstractNumId w:val="25"/>
  </w:num>
  <w:num w:numId="23" w16cid:durableId="734820291">
    <w:abstractNumId w:val="29"/>
  </w:num>
  <w:num w:numId="24" w16cid:durableId="1883980290">
    <w:abstractNumId w:val="7"/>
  </w:num>
  <w:num w:numId="25" w16cid:durableId="721752711">
    <w:abstractNumId w:val="55"/>
  </w:num>
  <w:num w:numId="26" w16cid:durableId="2003655516">
    <w:abstractNumId w:val="46"/>
  </w:num>
  <w:num w:numId="27" w16cid:durableId="1825463945">
    <w:abstractNumId w:val="21"/>
  </w:num>
  <w:num w:numId="28" w16cid:durableId="493185700">
    <w:abstractNumId w:val="2"/>
  </w:num>
  <w:num w:numId="29" w16cid:durableId="831530226">
    <w:abstractNumId w:val="44"/>
  </w:num>
  <w:num w:numId="30" w16cid:durableId="672806665">
    <w:abstractNumId w:val="56"/>
  </w:num>
  <w:num w:numId="31" w16cid:durableId="873272303">
    <w:abstractNumId w:val="48"/>
  </w:num>
  <w:num w:numId="32" w16cid:durableId="245186355">
    <w:abstractNumId w:val="31"/>
  </w:num>
  <w:num w:numId="33" w16cid:durableId="213930173">
    <w:abstractNumId w:val="13"/>
  </w:num>
  <w:num w:numId="34" w16cid:durableId="1992320232">
    <w:abstractNumId w:val="47"/>
  </w:num>
  <w:num w:numId="35" w16cid:durableId="1618834286">
    <w:abstractNumId w:val="39"/>
  </w:num>
  <w:num w:numId="36" w16cid:durableId="1683119251">
    <w:abstractNumId w:val="36"/>
  </w:num>
  <w:num w:numId="37" w16cid:durableId="1898466379">
    <w:abstractNumId w:val="4"/>
  </w:num>
  <w:num w:numId="38" w16cid:durableId="1525510709">
    <w:abstractNumId w:val="41"/>
  </w:num>
  <w:num w:numId="39" w16cid:durableId="1554467442">
    <w:abstractNumId w:val="11"/>
  </w:num>
  <w:num w:numId="40" w16cid:durableId="471825994">
    <w:abstractNumId w:val="18"/>
  </w:num>
  <w:num w:numId="41" w16cid:durableId="158038482">
    <w:abstractNumId w:val="26"/>
  </w:num>
  <w:num w:numId="42" w16cid:durableId="2142648782">
    <w:abstractNumId w:val="1"/>
  </w:num>
  <w:num w:numId="43" w16cid:durableId="121463486">
    <w:abstractNumId w:val="12"/>
  </w:num>
  <w:num w:numId="44" w16cid:durableId="1976258638">
    <w:abstractNumId w:val="15"/>
  </w:num>
  <w:num w:numId="45" w16cid:durableId="753471285">
    <w:abstractNumId w:val="42"/>
  </w:num>
  <w:num w:numId="46" w16cid:durableId="679043261">
    <w:abstractNumId w:val="3"/>
  </w:num>
  <w:num w:numId="47" w16cid:durableId="1976835958">
    <w:abstractNumId w:val="10"/>
  </w:num>
  <w:num w:numId="48" w16cid:durableId="775445922">
    <w:abstractNumId w:val="22"/>
  </w:num>
  <w:num w:numId="49" w16cid:durableId="1642417234">
    <w:abstractNumId w:val="40"/>
  </w:num>
  <w:num w:numId="50" w16cid:durableId="1986543045">
    <w:abstractNumId w:val="8"/>
  </w:num>
  <w:num w:numId="51" w16cid:durableId="1456023270">
    <w:abstractNumId w:val="23"/>
  </w:num>
  <w:num w:numId="52" w16cid:durableId="961233429">
    <w:abstractNumId w:val="5"/>
  </w:num>
  <w:num w:numId="53" w16cid:durableId="707341326">
    <w:abstractNumId w:val="6"/>
  </w:num>
  <w:num w:numId="54" w16cid:durableId="1556046804">
    <w:abstractNumId w:val="49"/>
  </w:num>
  <w:num w:numId="55" w16cid:durableId="609625482">
    <w:abstractNumId w:val="24"/>
  </w:num>
  <w:num w:numId="56" w16cid:durableId="334457131">
    <w:abstractNumId w:val="50"/>
  </w:num>
  <w:num w:numId="57" w16cid:durableId="25066747">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4FB"/>
  <w15:docId w15:val="{AE5D93B9-EC35-4848-8365-C2580266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Arial (Body)"/>
        <w:sz w:val="24"/>
        <w:szCs w:val="24"/>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17F7"/>
    <w:pPr>
      <w:spacing w:line="240" w:lineRule="auto"/>
    </w:pPr>
    <w:rPr>
      <w:rFonts w:ascii="Arial" w:hAnsi="Arial"/>
      <w:sz w:val="20"/>
      <w:lang w:val="en-US"/>
    </w:rPr>
  </w:style>
  <w:style w:type="paragraph" w:styleId="berschrift1">
    <w:name w:val="heading 1"/>
    <w:basedOn w:val="Standard"/>
    <w:next w:val="Standard"/>
    <w:uiPriority w:val="9"/>
    <w:qFormat/>
    <w:pPr>
      <w:keepNext/>
      <w:keepLines/>
      <w:outlineLvl w:val="0"/>
    </w:pPr>
    <w:rPr>
      <w:sz w:val="36"/>
      <w:szCs w:val="36"/>
    </w:rPr>
  </w:style>
  <w:style w:type="paragraph" w:styleId="berschrift2">
    <w:name w:val="heading 2"/>
    <w:basedOn w:val="Standard"/>
    <w:next w:val="Standard"/>
    <w:uiPriority w:val="9"/>
    <w:unhideWhenUsed/>
    <w:qFormat/>
    <w:pPr>
      <w:keepNext/>
      <w:keepLines/>
      <w:outlineLvl w:val="1"/>
    </w:pPr>
    <w:rPr>
      <w:b/>
      <w:color w:val="666666"/>
      <w:sz w:val="32"/>
      <w:szCs w:val="32"/>
    </w:rPr>
  </w:style>
  <w:style w:type="paragraph" w:styleId="berschrift3">
    <w:name w:val="heading 3"/>
    <w:basedOn w:val="Standard"/>
    <w:next w:val="Standard"/>
    <w:uiPriority w:val="9"/>
    <w:unhideWhenUsed/>
    <w:qFormat/>
    <w:rsid w:val="00485364"/>
    <w:pPr>
      <w:keepNext/>
      <w:keepLines/>
      <w:outlineLvl w:val="2"/>
    </w:pPr>
    <w:rPr>
      <w:b/>
      <w:sz w:val="28"/>
      <w:szCs w:val="28"/>
    </w:rPr>
  </w:style>
  <w:style w:type="paragraph" w:styleId="berschrift4">
    <w:name w:val="heading 4"/>
    <w:basedOn w:val="Standard"/>
    <w:next w:val="Standard"/>
    <w:uiPriority w:val="9"/>
    <w:unhideWhenUsed/>
    <w:qFormat/>
    <w:rsid w:val="00C729C1"/>
    <w:pPr>
      <w:keepNext/>
      <w:keepLines/>
      <w:outlineLvl w:val="3"/>
    </w:pPr>
    <w:rPr>
      <w:rFonts w:ascii="Arial" w:hAnsi="Arial" w:cs="Arial"/>
      <w:b/>
      <w:color w:val="434343"/>
    </w:rPr>
  </w:style>
  <w:style w:type="paragraph" w:styleId="berschrift5">
    <w:name w:val="heading 5"/>
    <w:basedOn w:val="Standard"/>
    <w:next w:val="Standard"/>
    <w:uiPriority w:val="9"/>
    <w:unhideWhenUsed/>
    <w:qFormat/>
    <w:pPr>
      <w:keepNext/>
      <w:keepLines/>
      <w:outlineLvl w:val="4"/>
    </w:pPr>
    <w:rPr>
      <w:b/>
      <w:color w:val="434343"/>
    </w:rPr>
  </w:style>
  <w:style w:type="paragraph" w:styleId="berschrift6">
    <w:name w:val="heading 6"/>
    <w:basedOn w:val="Standard"/>
    <w:next w:val="Standard"/>
    <w:uiPriority w:val="9"/>
    <w:semiHidden/>
    <w:unhideWhenUsed/>
    <w:qFormat/>
    <w:pPr>
      <w:keepNext/>
      <w:keepLines/>
      <w:spacing w:before="240" w:after="80"/>
      <w:outlineLvl w:val="5"/>
    </w:pPr>
    <w:rPr>
      <w:i/>
      <w:color w:val="666666"/>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rFonts w:ascii="Arial" w:hAnsi="Arial" w:cs="Arial"/>
      <w:color w:val="666666"/>
      <w:sz w:val="30"/>
      <w:szCs w:val="30"/>
    </w:rPr>
  </w:style>
  <w:style w:type="table" w:customStyle="1" w:styleId="a">
    <w:basedOn w:val="NormaleTabelle"/>
    <w:tblPr>
      <w:tblStyleRowBandSize w:val="1"/>
      <w:tblStyleColBandSize w:val="1"/>
      <w:tblCellMar>
        <w:top w:w="100" w:type="dxa"/>
        <w:left w:w="100" w:type="dxa"/>
        <w:bottom w:w="100" w:type="dxa"/>
        <w:right w:w="100" w:type="dxa"/>
      </w:tblCellMar>
    </w:tblPr>
  </w:style>
  <w:style w:type="table" w:customStyle="1" w:styleId="a0">
    <w:basedOn w:val="NormaleTabelle"/>
    <w:tblPr>
      <w:tblStyleRowBandSize w:val="1"/>
      <w:tblStyleColBandSize w:val="1"/>
      <w:tblCellMar>
        <w:top w:w="100" w:type="dxa"/>
        <w:left w:w="100" w:type="dxa"/>
        <w:bottom w:w="100" w:type="dxa"/>
        <w:right w:w="100" w:type="dxa"/>
      </w:tblCellMar>
    </w:tblPr>
  </w:style>
  <w:style w:type="table" w:customStyle="1" w:styleId="a1">
    <w:basedOn w:val="NormaleTabelle"/>
    <w:tblPr>
      <w:tblStyleRowBandSize w:val="1"/>
      <w:tblStyleColBandSize w:val="1"/>
      <w:tblCellMar>
        <w:top w:w="100" w:type="dxa"/>
        <w:left w:w="100" w:type="dxa"/>
        <w:bottom w:w="100" w:type="dxa"/>
        <w:right w:w="100" w:type="dxa"/>
      </w:tblCellMar>
    </w:tblPr>
  </w:style>
  <w:style w:type="table" w:customStyle="1" w:styleId="a2">
    <w:basedOn w:val="NormaleTabelle"/>
    <w:tblPr>
      <w:tblStyleRowBandSize w:val="1"/>
      <w:tblStyleColBandSize w:val="1"/>
      <w:tblCellMar>
        <w:top w:w="100" w:type="dxa"/>
        <w:left w:w="100" w:type="dxa"/>
        <w:bottom w:w="100" w:type="dxa"/>
        <w:right w:w="100" w:type="dxa"/>
      </w:tblCellMar>
    </w:tblPr>
  </w:style>
  <w:style w:type="table" w:customStyle="1" w:styleId="a3">
    <w:basedOn w:val="NormaleTabelle"/>
    <w:tblPr>
      <w:tblStyleRowBandSize w:val="1"/>
      <w:tblStyleColBandSize w:val="1"/>
      <w:tblCellMar>
        <w:top w:w="100" w:type="dxa"/>
        <w:left w:w="100" w:type="dxa"/>
        <w:bottom w:w="100" w:type="dxa"/>
        <w:right w:w="100" w:type="dxa"/>
      </w:tblCellMar>
    </w:tblPr>
  </w:style>
  <w:style w:type="table" w:customStyle="1" w:styleId="a4">
    <w:basedOn w:val="NormaleTabelle"/>
    <w:tblPr>
      <w:tblStyleRowBandSize w:val="1"/>
      <w:tblStyleColBandSize w:val="1"/>
      <w:tblCellMar>
        <w:top w:w="100" w:type="dxa"/>
        <w:left w:w="100" w:type="dxa"/>
        <w:bottom w:w="100" w:type="dxa"/>
        <w:right w:w="100" w:type="dxa"/>
      </w:tblCellMar>
    </w:tblPr>
  </w:style>
  <w:style w:type="table" w:customStyle="1" w:styleId="a5">
    <w:basedOn w:val="NormaleTabelle"/>
    <w:tblPr>
      <w:tblStyleRowBandSize w:val="1"/>
      <w:tblStyleColBandSize w:val="1"/>
      <w:tblCellMar>
        <w:top w:w="100" w:type="dxa"/>
        <w:left w:w="100" w:type="dxa"/>
        <w:bottom w:w="100" w:type="dxa"/>
        <w:right w:w="100" w:type="dxa"/>
      </w:tblCellMar>
    </w:tblPr>
  </w:style>
  <w:style w:type="table" w:customStyle="1" w:styleId="a6">
    <w:basedOn w:val="NormaleTabelle"/>
    <w:tblPr>
      <w:tblStyleRowBandSize w:val="1"/>
      <w:tblStyleColBandSize w:val="1"/>
      <w:tblCellMar>
        <w:top w:w="100" w:type="dxa"/>
        <w:left w:w="100" w:type="dxa"/>
        <w:bottom w:w="100" w:type="dxa"/>
        <w:right w:w="100" w:type="dxa"/>
      </w:tblCellMar>
    </w:tblPr>
  </w:style>
  <w:style w:type="table" w:customStyle="1" w:styleId="a7">
    <w:basedOn w:val="NormaleTabelle"/>
    <w:tblPr>
      <w:tblStyleRowBandSize w:val="1"/>
      <w:tblStyleColBandSize w:val="1"/>
      <w:tblCellMar>
        <w:top w:w="100" w:type="dxa"/>
        <w:left w:w="100" w:type="dxa"/>
        <w:bottom w:w="100" w:type="dxa"/>
        <w:right w:w="100" w:type="dxa"/>
      </w:tblCellMar>
    </w:tblPr>
  </w:style>
  <w:style w:type="table" w:customStyle="1" w:styleId="a8">
    <w:basedOn w:val="NormaleTabelle"/>
    <w:rsid w:val="00C33A9B"/>
    <w:tblPr>
      <w:tblStyleRowBandSize w:val="1"/>
      <w:tblStyleColBandSize w:val="1"/>
      <w:tblCellMar>
        <w:top w:w="100" w:type="dxa"/>
        <w:left w:w="100" w:type="dxa"/>
        <w:bottom w:w="100" w:type="dxa"/>
        <w:right w:w="100" w:type="dxa"/>
      </w:tblCellMar>
    </w:tblPr>
  </w:style>
  <w:style w:type="table" w:customStyle="1" w:styleId="a9">
    <w:basedOn w:val="NormaleTabelle"/>
    <w:tblPr>
      <w:tblStyleRowBandSize w:val="1"/>
      <w:tblStyleColBandSize w:val="1"/>
      <w:tblCellMar>
        <w:top w:w="100" w:type="dxa"/>
        <w:left w:w="100" w:type="dxa"/>
        <w:bottom w:w="100" w:type="dxa"/>
        <w:right w:w="100" w:type="dxa"/>
      </w:tblCellMar>
    </w:tblPr>
  </w:style>
  <w:style w:type="table" w:customStyle="1" w:styleId="aa">
    <w:basedOn w:val="NormaleTabelle"/>
    <w:tblPr>
      <w:tblStyleRowBandSize w:val="1"/>
      <w:tblStyleColBandSize w:val="1"/>
      <w:tblCellMar>
        <w:top w:w="100" w:type="dxa"/>
        <w:left w:w="100" w:type="dxa"/>
        <w:bottom w:w="100" w:type="dxa"/>
        <w:right w:w="100" w:type="dxa"/>
      </w:tblCellMar>
    </w:tblPr>
  </w:style>
  <w:style w:type="table" w:customStyle="1" w:styleId="ab">
    <w:basedOn w:val="NormaleTabelle"/>
    <w:tblPr>
      <w:tblStyleRowBandSize w:val="1"/>
      <w:tblStyleColBandSize w:val="1"/>
      <w:tblCellMar>
        <w:top w:w="100" w:type="dxa"/>
        <w:left w:w="100" w:type="dxa"/>
        <w:bottom w:w="100" w:type="dxa"/>
        <w:right w:w="100" w:type="dxa"/>
      </w:tblCellMar>
    </w:tblPr>
  </w:style>
  <w:style w:type="table" w:customStyle="1" w:styleId="ac">
    <w:basedOn w:val="NormaleTabelle"/>
    <w:tblPr>
      <w:tblStyleRowBandSize w:val="1"/>
      <w:tblStyleColBandSize w:val="1"/>
      <w:tblCellMar>
        <w:top w:w="100" w:type="dxa"/>
        <w:left w:w="100" w:type="dxa"/>
        <w:bottom w:w="100" w:type="dxa"/>
        <w:right w:w="100" w:type="dxa"/>
      </w:tblCellMar>
    </w:tblPr>
  </w:style>
  <w:style w:type="table" w:customStyle="1" w:styleId="ad">
    <w:basedOn w:val="NormaleTabelle"/>
    <w:tblPr>
      <w:tblStyleRowBandSize w:val="1"/>
      <w:tblStyleColBandSize w:val="1"/>
      <w:tblCellMar>
        <w:top w:w="100" w:type="dxa"/>
        <w:left w:w="100" w:type="dxa"/>
        <w:bottom w:w="100" w:type="dxa"/>
        <w:right w:w="100" w:type="dxa"/>
      </w:tblCellMar>
    </w:tblPr>
  </w:style>
  <w:style w:type="table" w:customStyle="1" w:styleId="ae">
    <w:basedOn w:val="NormaleTabelle"/>
    <w:tblPr>
      <w:tblStyleRowBandSize w:val="1"/>
      <w:tblStyleColBandSize w:val="1"/>
      <w:tblCellMar>
        <w:top w:w="100" w:type="dxa"/>
        <w:left w:w="100" w:type="dxa"/>
        <w:bottom w:w="100" w:type="dxa"/>
        <w:right w:w="100" w:type="dxa"/>
      </w:tblCellMar>
    </w:tblPr>
  </w:style>
  <w:style w:type="table" w:customStyle="1" w:styleId="af">
    <w:basedOn w:val="NormaleTabelle"/>
    <w:tblPr>
      <w:tblStyleRowBandSize w:val="1"/>
      <w:tblStyleColBandSize w:val="1"/>
      <w:tblCellMar>
        <w:top w:w="100" w:type="dxa"/>
        <w:left w:w="100" w:type="dxa"/>
        <w:bottom w:w="100" w:type="dxa"/>
        <w:right w:w="100" w:type="dxa"/>
      </w:tblCellMar>
    </w:tblPr>
  </w:style>
  <w:style w:type="table" w:customStyle="1" w:styleId="af0">
    <w:basedOn w:val="NormaleTabelle"/>
    <w:tblPr>
      <w:tblStyleRowBandSize w:val="1"/>
      <w:tblStyleColBandSize w:val="1"/>
      <w:tblCellMar>
        <w:top w:w="100" w:type="dxa"/>
        <w:left w:w="100" w:type="dxa"/>
        <w:bottom w:w="100" w:type="dxa"/>
        <w:right w:w="100" w:type="dxa"/>
      </w:tblCellMar>
    </w:tblPr>
  </w:style>
  <w:style w:type="table" w:customStyle="1" w:styleId="af1">
    <w:basedOn w:val="NormaleTabelle"/>
    <w:tblPr>
      <w:tblStyleRowBandSize w:val="1"/>
      <w:tblStyleColBandSize w:val="1"/>
      <w:tblCellMar>
        <w:top w:w="100" w:type="dxa"/>
        <w:left w:w="100" w:type="dxa"/>
        <w:bottom w:w="100" w:type="dxa"/>
        <w:right w:w="100" w:type="dxa"/>
      </w:tblCellMar>
    </w:tblPr>
  </w:style>
  <w:style w:type="table" w:customStyle="1" w:styleId="af2">
    <w:basedOn w:val="NormaleTabelle"/>
    <w:tblPr>
      <w:tblStyleRowBandSize w:val="1"/>
      <w:tblStyleColBandSize w:val="1"/>
      <w:tblCellMar>
        <w:top w:w="100" w:type="dxa"/>
        <w:left w:w="100" w:type="dxa"/>
        <w:bottom w:w="100" w:type="dxa"/>
        <w:right w:w="100" w:type="dxa"/>
      </w:tblCellMar>
    </w:tblPr>
  </w:style>
  <w:style w:type="table" w:customStyle="1" w:styleId="af3">
    <w:basedOn w:val="NormaleTabelle"/>
    <w:tblPr>
      <w:tblStyleRowBandSize w:val="1"/>
      <w:tblStyleColBandSize w:val="1"/>
      <w:tblCellMar>
        <w:top w:w="100" w:type="dxa"/>
        <w:left w:w="100" w:type="dxa"/>
        <w:bottom w:w="100" w:type="dxa"/>
        <w:right w:w="100" w:type="dxa"/>
      </w:tblCellMar>
    </w:tblPr>
  </w:style>
  <w:style w:type="table" w:customStyle="1" w:styleId="af4">
    <w:basedOn w:val="NormaleTabelle"/>
    <w:tblPr>
      <w:tblStyleRowBandSize w:val="1"/>
      <w:tblStyleColBandSize w:val="1"/>
      <w:tblCellMar>
        <w:top w:w="100" w:type="dxa"/>
        <w:left w:w="100" w:type="dxa"/>
        <w:bottom w:w="100" w:type="dxa"/>
        <w:right w:w="100" w:type="dxa"/>
      </w:tblCellMar>
    </w:tblPr>
  </w:style>
  <w:style w:type="table" w:customStyle="1" w:styleId="af5">
    <w:basedOn w:val="NormaleTabelle"/>
    <w:tblPr>
      <w:tblStyleRowBandSize w:val="1"/>
      <w:tblStyleColBandSize w:val="1"/>
      <w:tblCellMar>
        <w:top w:w="100" w:type="dxa"/>
        <w:left w:w="100" w:type="dxa"/>
        <w:bottom w:w="100" w:type="dxa"/>
        <w:right w:w="100" w:type="dxa"/>
      </w:tblCellMar>
    </w:tblPr>
  </w:style>
  <w:style w:type="table" w:customStyle="1" w:styleId="af6">
    <w:basedOn w:val="NormaleTabelle"/>
    <w:tblPr>
      <w:tblStyleRowBandSize w:val="1"/>
      <w:tblStyleColBandSize w:val="1"/>
      <w:tblCellMar>
        <w:top w:w="100" w:type="dxa"/>
        <w:left w:w="100" w:type="dxa"/>
        <w:bottom w:w="100" w:type="dxa"/>
        <w:right w:w="100" w:type="dxa"/>
      </w:tblCellMar>
    </w:tblPr>
  </w:style>
  <w:style w:type="paragraph" w:styleId="Kopfzeile">
    <w:name w:val="header"/>
    <w:basedOn w:val="Standard"/>
    <w:link w:val="KopfzeileZchn"/>
    <w:uiPriority w:val="99"/>
    <w:unhideWhenUsed/>
    <w:rsid w:val="002202EE"/>
    <w:pPr>
      <w:tabs>
        <w:tab w:val="center" w:pos="4513"/>
        <w:tab w:val="right" w:pos="9026"/>
      </w:tabs>
    </w:pPr>
  </w:style>
  <w:style w:type="character" w:customStyle="1" w:styleId="KopfzeileZchn">
    <w:name w:val="Kopfzeile Zchn"/>
    <w:basedOn w:val="Absatz-Standardschriftart"/>
    <w:link w:val="Kopfzeile"/>
    <w:uiPriority w:val="99"/>
    <w:rsid w:val="002202EE"/>
  </w:style>
  <w:style w:type="paragraph" w:styleId="Fuzeile">
    <w:name w:val="footer"/>
    <w:basedOn w:val="Standard"/>
    <w:link w:val="FuzeileZchn"/>
    <w:uiPriority w:val="99"/>
    <w:unhideWhenUsed/>
    <w:rsid w:val="002202EE"/>
    <w:pPr>
      <w:tabs>
        <w:tab w:val="center" w:pos="4513"/>
        <w:tab w:val="right" w:pos="9026"/>
      </w:tabs>
    </w:pPr>
  </w:style>
  <w:style w:type="character" w:customStyle="1" w:styleId="FuzeileZchn">
    <w:name w:val="Fußzeile Zchn"/>
    <w:basedOn w:val="Absatz-Standardschriftart"/>
    <w:link w:val="Fuzeile"/>
    <w:uiPriority w:val="99"/>
    <w:rsid w:val="002202EE"/>
  </w:style>
  <w:style w:type="character" w:styleId="Hyperlink">
    <w:name w:val="Hyperlink"/>
    <w:basedOn w:val="Absatz-Standardschriftart"/>
    <w:uiPriority w:val="99"/>
    <w:unhideWhenUsed/>
    <w:rsid w:val="002202EE"/>
    <w:rPr>
      <w:color w:val="0000FF" w:themeColor="hyperlink"/>
      <w:u w:val="single"/>
    </w:rPr>
  </w:style>
  <w:style w:type="character" w:styleId="NichtaufgelsteErwhnung">
    <w:name w:val="Unresolved Mention"/>
    <w:basedOn w:val="Absatz-Standardschriftart"/>
    <w:uiPriority w:val="99"/>
    <w:semiHidden/>
    <w:unhideWhenUsed/>
    <w:rsid w:val="002202EE"/>
    <w:rPr>
      <w:color w:val="605E5C"/>
      <w:shd w:val="clear" w:color="auto" w:fill="E1DFDD"/>
    </w:rPr>
  </w:style>
  <w:style w:type="character" w:styleId="Kommentarzeichen">
    <w:name w:val="annotation reference"/>
    <w:basedOn w:val="Absatz-Standardschriftart"/>
    <w:uiPriority w:val="99"/>
    <w:semiHidden/>
    <w:unhideWhenUsed/>
    <w:rsid w:val="002202EE"/>
    <w:rPr>
      <w:sz w:val="16"/>
      <w:szCs w:val="16"/>
    </w:rPr>
  </w:style>
  <w:style w:type="paragraph" w:styleId="Kommentartext">
    <w:name w:val="annotation text"/>
    <w:basedOn w:val="Standard"/>
    <w:link w:val="KommentartextZchn"/>
    <w:uiPriority w:val="99"/>
    <w:semiHidden/>
    <w:unhideWhenUsed/>
    <w:rsid w:val="002202EE"/>
    <w:rPr>
      <w:sz w:val="20"/>
      <w:szCs w:val="20"/>
    </w:rPr>
  </w:style>
  <w:style w:type="character" w:customStyle="1" w:styleId="KommentartextZchn">
    <w:name w:val="Kommentartext Zchn"/>
    <w:basedOn w:val="Absatz-Standardschriftart"/>
    <w:link w:val="Kommentartext"/>
    <w:uiPriority w:val="99"/>
    <w:semiHidden/>
    <w:rsid w:val="002202EE"/>
    <w:rPr>
      <w:sz w:val="20"/>
      <w:szCs w:val="20"/>
    </w:rPr>
  </w:style>
  <w:style w:type="paragraph" w:styleId="Kommentarthema">
    <w:name w:val="annotation subject"/>
    <w:basedOn w:val="Kommentartext"/>
    <w:next w:val="Kommentartext"/>
    <w:link w:val="KommentarthemaZchn"/>
    <w:uiPriority w:val="99"/>
    <w:semiHidden/>
    <w:unhideWhenUsed/>
    <w:rsid w:val="002202EE"/>
    <w:rPr>
      <w:b/>
      <w:bCs/>
    </w:rPr>
  </w:style>
  <w:style w:type="character" w:customStyle="1" w:styleId="KommentarthemaZchn">
    <w:name w:val="Kommentarthema Zchn"/>
    <w:basedOn w:val="KommentartextZchn"/>
    <w:link w:val="Kommentarthema"/>
    <w:uiPriority w:val="99"/>
    <w:semiHidden/>
    <w:rsid w:val="002202EE"/>
    <w:rPr>
      <w:b/>
      <w:bCs/>
      <w:sz w:val="20"/>
      <w:szCs w:val="20"/>
    </w:rPr>
  </w:style>
  <w:style w:type="paragraph" w:styleId="berarbeitung">
    <w:name w:val="Revision"/>
    <w:hidden/>
    <w:uiPriority w:val="99"/>
    <w:semiHidden/>
    <w:rsid w:val="002202EE"/>
    <w:pPr>
      <w:spacing w:after="0" w:line="240" w:lineRule="auto"/>
    </w:pPr>
  </w:style>
  <w:style w:type="paragraph" w:styleId="Listenabsatz">
    <w:name w:val="List Paragraph"/>
    <w:basedOn w:val="Standard"/>
    <w:uiPriority w:val="34"/>
    <w:qFormat/>
    <w:rsid w:val="002202EE"/>
    <w:pPr>
      <w:ind w:left="720"/>
      <w:contextualSpacing/>
    </w:pPr>
  </w:style>
  <w:style w:type="paragraph" w:styleId="StandardWeb">
    <w:name w:val="Normal (Web)"/>
    <w:basedOn w:val="Standard"/>
    <w:uiPriority w:val="99"/>
    <w:unhideWhenUsed/>
    <w:rsid w:val="002202EE"/>
    <w:pPr>
      <w:spacing w:before="100" w:beforeAutospacing="1" w:after="100" w:afterAutospacing="1"/>
    </w:pPr>
  </w:style>
  <w:style w:type="paragraph" w:customStyle="1" w:styleId="paragraph">
    <w:name w:val="paragraph"/>
    <w:basedOn w:val="Standard"/>
    <w:rsid w:val="00083DCE"/>
    <w:pPr>
      <w:spacing w:before="100" w:beforeAutospacing="1" w:after="100" w:afterAutospacing="1"/>
    </w:pPr>
  </w:style>
  <w:style w:type="character" w:customStyle="1" w:styleId="normaltextrun">
    <w:name w:val="normaltextrun"/>
    <w:basedOn w:val="Absatz-Standardschriftart"/>
    <w:rsid w:val="00083DCE"/>
  </w:style>
  <w:style w:type="character" w:customStyle="1" w:styleId="eop">
    <w:name w:val="eop"/>
    <w:basedOn w:val="Absatz-Standardschriftart"/>
    <w:rsid w:val="00083DCE"/>
  </w:style>
  <w:style w:type="table" w:styleId="Tabellenraster">
    <w:name w:val="Table Grid"/>
    <w:basedOn w:val="NormaleTabelle"/>
    <w:uiPriority w:val="39"/>
    <w:rsid w:val="00F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6131C"/>
    <w:rPr>
      <w:color w:val="666666"/>
    </w:rPr>
  </w:style>
  <w:style w:type="paragraph" w:styleId="Literaturverzeichnis">
    <w:name w:val="Bibliography"/>
    <w:basedOn w:val="Standard"/>
    <w:next w:val="Standard"/>
    <w:uiPriority w:val="37"/>
    <w:unhideWhenUsed/>
    <w:rsid w:val="0083428F"/>
    <w:pPr>
      <w:spacing w:line="480" w:lineRule="auto"/>
      <w:ind w:left="720" w:hanging="720"/>
    </w:pPr>
  </w:style>
  <w:style w:type="character" w:styleId="Seitenzahl">
    <w:name w:val="page number"/>
    <w:basedOn w:val="Absatz-Standardschriftart"/>
    <w:uiPriority w:val="99"/>
    <w:semiHidden/>
    <w:unhideWhenUsed/>
    <w:rsid w:val="00392AD9"/>
  </w:style>
  <w:style w:type="character" w:styleId="Zeilennummer">
    <w:name w:val="line number"/>
    <w:basedOn w:val="Absatz-Standardschriftart"/>
    <w:uiPriority w:val="99"/>
    <w:semiHidden/>
    <w:unhideWhenUsed/>
    <w:rsid w:val="006D3E4C"/>
  </w:style>
  <w:style w:type="paragraph" w:styleId="KeinLeerraum">
    <w:name w:val="No Spacing"/>
    <w:uiPriority w:val="1"/>
    <w:qFormat/>
    <w:rsid w:val="006D3E4C"/>
    <w:pPr>
      <w:spacing w:after="0" w:line="240" w:lineRule="auto"/>
    </w:pPr>
    <w:rPr>
      <w:rFonts w:ascii="Times New Roman" w:eastAsia="Times New Roman" w:hAnsi="Times New Roman" w:cs="Times New Roman"/>
    </w:rPr>
  </w:style>
  <w:style w:type="character" w:styleId="BesuchterLink">
    <w:name w:val="FollowedHyperlink"/>
    <w:basedOn w:val="Absatz-Standardschriftart"/>
    <w:uiPriority w:val="99"/>
    <w:semiHidden/>
    <w:unhideWhenUsed/>
    <w:rsid w:val="00CB2307"/>
    <w:rPr>
      <w:color w:val="800080" w:themeColor="followedHyperlink"/>
      <w:u w:val="single"/>
    </w:rPr>
  </w:style>
  <w:style w:type="paragraph" w:customStyle="1" w:styleId="EndNoteBibliographyTitle">
    <w:name w:val="EndNote Bibliography Title"/>
    <w:basedOn w:val="Standard"/>
    <w:link w:val="EndNoteBibliographyTitleZchn"/>
    <w:rsid w:val="00FE543F"/>
    <w:pPr>
      <w:jc w:val="center"/>
    </w:pPr>
    <w:rPr>
      <w:rFonts w:ascii="Arial" w:hAnsi="Arial" w:cs="Arial"/>
    </w:rPr>
  </w:style>
  <w:style w:type="character" w:customStyle="1" w:styleId="EndNoteBibliographyTitleZchn">
    <w:name w:val="EndNote Bibliography Title Zchn"/>
    <w:basedOn w:val="Absatz-Standardschriftart"/>
    <w:link w:val="EndNoteBibliographyTitle"/>
    <w:rsid w:val="00FE543F"/>
    <w:rPr>
      <w:rFonts w:ascii="Arial" w:hAnsi="Arial" w:cs="Arial"/>
      <w:lang w:val="en-US"/>
    </w:rPr>
  </w:style>
  <w:style w:type="paragraph" w:customStyle="1" w:styleId="EndNoteBibliography">
    <w:name w:val="EndNote Bibliography"/>
    <w:basedOn w:val="Standard"/>
    <w:link w:val="EndNoteBibliographyZchn"/>
    <w:rsid w:val="00FE543F"/>
    <w:pPr>
      <w:jc w:val="both"/>
    </w:pPr>
    <w:rPr>
      <w:rFonts w:ascii="Arial" w:hAnsi="Arial" w:cs="Arial"/>
    </w:rPr>
  </w:style>
  <w:style w:type="character" w:customStyle="1" w:styleId="EndNoteBibliographyZchn">
    <w:name w:val="EndNote Bibliography Zchn"/>
    <w:basedOn w:val="Absatz-Standardschriftart"/>
    <w:link w:val="EndNoteBibliography"/>
    <w:rsid w:val="00FE543F"/>
    <w:rPr>
      <w:rFonts w:ascii="Arial" w:hAnsi="Arial" w:cs="Arial"/>
      <w:lang w:val="en-US"/>
    </w:rPr>
  </w:style>
  <w:style w:type="character" w:customStyle="1" w:styleId="TitelZchn">
    <w:name w:val="Titel Zchn"/>
    <w:basedOn w:val="Absatz-Standardschriftart"/>
    <w:link w:val="Titel"/>
    <w:uiPriority w:val="10"/>
    <w:rsid w:val="006938A0"/>
    <w:rPr>
      <w:sz w:val="52"/>
      <w:szCs w:val="52"/>
    </w:rPr>
  </w:style>
  <w:style w:type="paragraph" w:customStyle="1" w:styleId="Compact">
    <w:name w:val="Compact"/>
    <w:basedOn w:val="Textkrper"/>
    <w:qFormat/>
    <w:rsid w:val="00132CBB"/>
    <w:pPr>
      <w:spacing w:before="36" w:after="36"/>
    </w:pPr>
    <w:rPr>
      <w:rFonts w:eastAsiaTheme="minorHAnsi" w:cstheme="minorBidi"/>
    </w:rPr>
  </w:style>
  <w:style w:type="paragraph" w:styleId="Funotentext">
    <w:name w:val="footnote text"/>
    <w:basedOn w:val="Standard"/>
    <w:link w:val="FunotentextZchn"/>
    <w:uiPriority w:val="9"/>
    <w:unhideWhenUsed/>
    <w:qFormat/>
    <w:rsid w:val="00132CBB"/>
    <w:pPr>
      <w:spacing w:after="200"/>
    </w:pPr>
    <w:rPr>
      <w:rFonts w:eastAsiaTheme="minorHAnsi" w:cstheme="minorBidi"/>
    </w:rPr>
  </w:style>
  <w:style w:type="character" w:customStyle="1" w:styleId="FunotentextZchn">
    <w:name w:val="Fußnotentext Zchn"/>
    <w:basedOn w:val="Absatz-Standardschriftart"/>
    <w:link w:val="Funotentext"/>
    <w:uiPriority w:val="9"/>
    <w:rsid w:val="00132CBB"/>
    <w:rPr>
      <w:rFonts w:eastAsiaTheme="minorHAnsi" w:cstheme="minorBidi"/>
      <w:lang w:val="en-US"/>
    </w:rPr>
  </w:style>
  <w:style w:type="table" w:customStyle="1" w:styleId="Table">
    <w:name w:val="Table"/>
    <w:semiHidden/>
    <w:unhideWhenUsed/>
    <w:qFormat/>
    <w:rsid w:val="00132CBB"/>
    <w:pPr>
      <w:spacing w:after="200" w:line="240" w:lineRule="auto"/>
    </w:pPr>
    <w:rPr>
      <w:rFonts w:eastAsiaTheme="minorHAnsi" w:cstheme="minorBidi"/>
      <w:sz w:val="20"/>
      <w:szCs w:val="20"/>
      <w:lang w:val="en-US"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bsatz-Standardschriftart"/>
    <w:link w:val="SourceCode"/>
    <w:rsid w:val="00132CBB"/>
    <w:rPr>
      <w:rFonts w:ascii="Consolas" w:hAnsi="Consolas"/>
      <w:sz w:val="22"/>
      <w:shd w:val="clear" w:color="auto" w:fill="F1F3F5"/>
    </w:rPr>
  </w:style>
  <w:style w:type="character" w:styleId="Funotenzeichen">
    <w:name w:val="footnote reference"/>
    <w:basedOn w:val="Absatz-Standardschriftart"/>
    <w:rsid w:val="00132CBB"/>
    <w:rPr>
      <w:vertAlign w:val="superscript"/>
    </w:rPr>
  </w:style>
  <w:style w:type="paragraph" w:customStyle="1" w:styleId="SourceCode">
    <w:name w:val="Source Code"/>
    <w:basedOn w:val="Standard"/>
    <w:link w:val="VerbatimChar"/>
    <w:rsid w:val="00132CBB"/>
    <w:pPr>
      <w:shd w:val="clear" w:color="auto" w:fill="F1F3F5"/>
      <w:wordWrap w:val="0"/>
      <w:spacing w:after="200"/>
    </w:pPr>
    <w:rPr>
      <w:rFonts w:ascii="Consolas" w:hAnsi="Consolas"/>
      <w:sz w:val="22"/>
    </w:rPr>
  </w:style>
  <w:style w:type="paragraph" w:styleId="Textkrper">
    <w:name w:val="Body Text"/>
    <w:basedOn w:val="Standard"/>
    <w:link w:val="TextkrperZchn"/>
    <w:uiPriority w:val="99"/>
    <w:unhideWhenUsed/>
    <w:rsid w:val="00132CBB"/>
  </w:style>
  <w:style w:type="character" w:customStyle="1" w:styleId="TextkrperZchn">
    <w:name w:val="Textkörper Zchn"/>
    <w:basedOn w:val="Absatz-Standardschriftart"/>
    <w:link w:val="Textkrper"/>
    <w:uiPriority w:val="99"/>
    <w:rsid w:val="00132CBB"/>
  </w:style>
  <w:style w:type="paragraph" w:customStyle="1" w:styleId="ImageCaption">
    <w:name w:val="Image Caption"/>
    <w:basedOn w:val="Beschriftung"/>
    <w:rsid w:val="00132CBB"/>
    <w:pPr>
      <w:spacing w:after="120"/>
    </w:pPr>
    <w:rPr>
      <w:rFonts w:eastAsiaTheme="minorHAnsi" w:cstheme="minorBidi"/>
      <w:iCs w:val="0"/>
      <w:color w:val="auto"/>
      <w:sz w:val="24"/>
      <w:szCs w:val="24"/>
    </w:rPr>
  </w:style>
  <w:style w:type="paragraph" w:styleId="Beschriftung">
    <w:name w:val="caption"/>
    <w:basedOn w:val="Standard"/>
    <w:next w:val="Standard"/>
    <w:uiPriority w:val="35"/>
    <w:semiHidden/>
    <w:unhideWhenUsed/>
    <w:qFormat/>
    <w:rsid w:val="00132CBB"/>
    <w:pPr>
      <w:spacing w:after="200"/>
    </w:pPr>
    <w:rPr>
      <w:i/>
      <w:iCs/>
      <w:color w:val="1F497D" w:themeColor="text2"/>
      <w:sz w:val="18"/>
      <w:szCs w:val="18"/>
    </w:rPr>
  </w:style>
  <w:style w:type="character" w:styleId="SchwacherVerweis">
    <w:name w:val="Subtle Reference"/>
    <w:aliases w:val="Verbatim"/>
    <w:basedOn w:val="VerbatimChar"/>
    <w:uiPriority w:val="31"/>
    <w:qFormat/>
    <w:rsid w:val="00C33A9B"/>
    <w:rPr>
      <w:rFonts w:ascii="Consolas" w:hAnsi="Consolas"/>
      <w:sz w:val="22"/>
      <w:shd w:val="clear" w:color="auto" w:fill="F1F3F5"/>
    </w:rPr>
  </w:style>
  <w:style w:type="character" w:customStyle="1" w:styleId="FloatTok">
    <w:name w:val="FloatTok"/>
    <w:basedOn w:val="VerbatimChar"/>
    <w:rsid w:val="00EF17F7"/>
    <w:rPr>
      <w:rFonts w:ascii="Consolas" w:hAnsi="Consolas"/>
      <w:color w:val="AD0000"/>
      <w:sz w:val="22"/>
      <w:shd w:val="clear" w:color="auto" w:fill="F1F3F5"/>
    </w:rPr>
  </w:style>
  <w:style w:type="character" w:customStyle="1" w:styleId="SpecialCharTok">
    <w:name w:val="SpecialCharTok"/>
    <w:basedOn w:val="VerbatimChar"/>
    <w:rsid w:val="00EF17F7"/>
    <w:rPr>
      <w:rFonts w:ascii="Consolas" w:hAnsi="Consolas"/>
      <w:color w:val="5E5E5E"/>
      <w:sz w:val="22"/>
      <w:shd w:val="clear" w:color="auto" w:fill="F1F3F5"/>
    </w:rPr>
  </w:style>
  <w:style w:type="character" w:customStyle="1" w:styleId="StringTok">
    <w:name w:val="StringTok"/>
    <w:basedOn w:val="VerbatimChar"/>
    <w:rsid w:val="00EF17F7"/>
    <w:rPr>
      <w:rFonts w:ascii="Consolas" w:hAnsi="Consolas"/>
      <w:color w:val="20794D"/>
      <w:sz w:val="22"/>
      <w:shd w:val="clear" w:color="auto" w:fill="F1F3F5"/>
    </w:rPr>
  </w:style>
  <w:style w:type="character" w:customStyle="1" w:styleId="CommentTok">
    <w:name w:val="CommentTok"/>
    <w:basedOn w:val="VerbatimChar"/>
    <w:rsid w:val="00EF17F7"/>
    <w:rPr>
      <w:rFonts w:ascii="Consolas" w:hAnsi="Consolas"/>
      <w:color w:val="5E5E5E"/>
      <w:sz w:val="22"/>
      <w:shd w:val="clear" w:color="auto" w:fill="F1F3F5"/>
    </w:rPr>
  </w:style>
  <w:style w:type="character" w:customStyle="1" w:styleId="OtherTok">
    <w:name w:val="OtherTok"/>
    <w:basedOn w:val="VerbatimChar"/>
    <w:rsid w:val="00EF17F7"/>
    <w:rPr>
      <w:rFonts w:ascii="Consolas" w:hAnsi="Consolas"/>
      <w:color w:val="003B4F"/>
      <w:sz w:val="22"/>
      <w:shd w:val="clear" w:color="auto" w:fill="F1F3F5"/>
    </w:rPr>
  </w:style>
  <w:style w:type="character" w:customStyle="1" w:styleId="FunctionTok">
    <w:name w:val="FunctionTok"/>
    <w:basedOn w:val="VerbatimChar"/>
    <w:rsid w:val="00EF17F7"/>
    <w:rPr>
      <w:rFonts w:ascii="Consolas" w:hAnsi="Consolas"/>
      <w:color w:val="4758AB"/>
      <w:sz w:val="22"/>
      <w:shd w:val="clear" w:color="auto" w:fill="F1F3F5"/>
    </w:rPr>
  </w:style>
  <w:style w:type="character" w:customStyle="1" w:styleId="NormalTok">
    <w:name w:val="NormalTok"/>
    <w:basedOn w:val="VerbatimChar"/>
    <w:rsid w:val="00EF17F7"/>
    <w:rPr>
      <w:rFonts w:ascii="Consolas" w:hAnsi="Consolas"/>
      <w:color w:val="003B4F"/>
      <w:sz w:val="22"/>
      <w:shd w:val="clear" w:color="auto" w:fill="F1F3F5"/>
    </w:rPr>
  </w:style>
  <w:style w:type="paragraph" w:customStyle="1" w:styleId="FirstParagraph">
    <w:name w:val="First Paragraph"/>
    <w:basedOn w:val="Textkrper"/>
    <w:next w:val="Textkrper"/>
    <w:qFormat/>
    <w:rsid w:val="00EF17F7"/>
    <w:pPr>
      <w:spacing w:before="180" w:after="180"/>
    </w:pPr>
    <w:rPr>
      <w:rFonts w:eastAsiaTheme="minorHAnsi" w:cstheme="minorBidi"/>
    </w:rPr>
  </w:style>
  <w:style w:type="character" w:customStyle="1" w:styleId="ControlFlowTok">
    <w:name w:val="ControlFlowTok"/>
    <w:basedOn w:val="VerbatimChar"/>
    <w:rsid w:val="00EF17F7"/>
    <w:rPr>
      <w:rFonts w:ascii="Consolas" w:hAnsi="Consolas"/>
      <w:b/>
      <w:color w:val="003B4F"/>
      <w:sz w:val="22"/>
      <w:shd w:val="clear" w:color="auto" w:fill="F1F3F5"/>
    </w:rPr>
  </w:style>
  <w:style w:type="character" w:customStyle="1" w:styleId="AttributeTok">
    <w:name w:val="AttributeTok"/>
    <w:basedOn w:val="VerbatimChar"/>
    <w:rsid w:val="00EF17F7"/>
    <w:rPr>
      <w:rFonts w:ascii="Consolas" w:hAnsi="Consolas"/>
      <w:color w:val="657422"/>
      <w:sz w:val="22"/>
      <w:shd w:val="clear" w:color="auto" w:fill="F1F3F5"/>
    </w:rPr>
  </w:style>
  <w:style w:type="character" w:styleId="Hervorhebung">
    <w:name w:val="Emphasis"/>
    <w:basedOn w:val="Absatz-Standardschriftart"/>
    <w:uiPriority w:val="20"/>
    <w:qFormat/>
    <w:rsid w:val="00B05E74"/>
    <w:rPr>
      <w:i/>
      <w:iCs/>
    </w:rPr>
  </w:style>
  <w:style w:type="character" w:styleId="SchwacheHervorhebung">
    <w:name w:val="Subtle Emphasis"/>
    <w:basedOn w:val="Absatz-Standardschriftart"/>
    <w:uiPriority w:val="19"/>
    <w:qFormat/>
    <w:rsid w:val="00B05E74"/>
    <w:rPr>
      <w:i/>
      <w:iCs/>
      <w:color w:val="404040" w:themeColor="text1" w:themeTint="BF"/>
    </w:rPr>
  </w:style>
  <w:style w:type="character" w:customStyle="1" w:styleId="DecValTok">
    <w:name w:val="DecValTok"/>
    <w:basedOn w:val="VerbatimChar"/>
    <w:rsid w:val="00646A22"/>
    <w:rPr>
      <w:rFonts w:ascii="Consolas" w:hAnsi="Consolas"/>
      <w:color w:val="AD0000"/>
      <w:sz w:val="22"/>
      <w:shd w:val="clear" w:color="auto" w:fill="F1F3F5"/>
    </w:rPr>
  </w:style>
  <w:style w:type="character" w:styleId="IntensiveHervorhebung">
    <w:name w:val="Intense Emphasis"/>
    <w:basedOn w:val="Absatz-Standardschriftart"/>
    <w:uiPriority w:val="21"/>
    <w:qFormat/>
    <w:rsid w:val="00EF7BE0"/>
    <w:rPr>
      <w:i/>
      <w:iCs/>
      <w:color w:val="4F81BD" w:themeColor="accent1"/>
    </w:rPr>
  </w:style>
  <w:style w:type="character" w:customStyle="1" w:styleId="ConstantTok">
    <w:name w:val="ConstantTok"/>
    <w:basedOn w:val="VerbatimChar"/>
    <w:rsid w:val="00504768"/>
    <w:rPr>
      <w:rFonts w:ascii="Consolas" w:hAnsi="Consolas"/>
      <w:color w:val="8F5902"/>
      <w:sz w:val="22"/>
      <w:shd w:val="clear" w:color="auto" w:fill="F1F3F5"/>
    </w:rPr>
  </w:style>
  <w:style w:type="paragraph" w:styleId="Blocktext">
    <w:name w:val="Block Text"/>
    <w:basedOn w:val="Textkrper"/>
    <w:next w:val="Textkrper"/>
    <w:uiPriority w:val="9"/>
    <w:unhideWhenUsed/>
    <w:qFormat/>
    <w:rsid w:val="00152FDE"/>
    <w:pPr>
      <w:spacing w:before="100" w:after="100" w:line="240" w:lineRule="auto"/>
      <w:ind w:left="480" w:right="480"/>
    </w:pPr>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DAC1-B368-3C4D-A36B-D72EFAFD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cp:lastModifiedBy>Johannes Zauner</cp:lastModifiedBy>
  <cp:revision>116</cp:revision>
  <dcterms:created xsi:type="dcterms:W3CDTF">2025-08-11T09:07:00Z</dcterms:created>
  <dcterms:modified xsi:type="dcterms:W3CDTF">2026-06-04T18:35:00Z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id="SzioPhqs"/&gt;&lt;style id="http://www.zotero.org/styles/apa" locale="en-GB" hasBibliography="1" bibliographyStyleHasBeenSet="1"/&gt;&lt;prefs&gt;&lt;pref name="fieldType" value="Field"/&gt;&lt;/prefs&gt;&lt;/data&gt;</vt:lpwstr>
  </property>
</Properties>
</file>