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S3. Descriptive recommendation-range fractions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1951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/>
        </w:trPr>
        <w:tc>
          <w:tcPr>
            <w:tcW w:type="dxa" w:w="1951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Site</w:t>
            </w:r>
            <w:r>
              <w:rPr>
                <w:rFonts w:ascii="Arial" w:hAnsi="Arial"/>
                <w:b/>
                <w:i/>
                <w:color w:val="333333"/>
                <w:sz w:val="16"/>
                <w:vertAlign w:val="superscript"/>
              </w:rPr>
              <w:t>1</w:t>
            </w:r>
          </w:p>
        </w:tc>
        <w:tc>
          <w:tcPr>
            <w:tcW w:type="dxa" w:w="6649"/>
            <w:gridSpan w:val="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Minutes in the recommended range:</w:t>
            </w:r>
            <w:r>
              <w:rPr>
                <w:rFonts w:ascii="Arial" w:hAnsi="Arial"/>
                <w:b/>
                <w:i/>
                <w:color w:val="333333"/>
                <w:sz w:val="16"/>
                <w:vertAlign w:val="superscript"/>
              </w:rPr>
              <w:t>2</w:t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</w:t>
            </w:r>
          </w:p>
        </w:tc>
        <w:tc>
          <w:tcPr>
            <w:tcW w:type="dxa" w:w="6649"/>
            <w:gridSpan w:val="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Share of all eligible real minutes:</w:t>
            </w:r>
            <w:r>
              <w:rPr>
                <w:rFonts w:ascii="Arial" w:hAnsi="Arial"/>
                <w:b/>
                <w:i/>
                <w:color w:val="333333"/>
                <w:sz w:val="16"/>
                <w:vertAlign w:val="superscript"/>
              </w:rPr>
              <w:t>3</w:t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</w:t>
            </w:r>
          </w:p>
        </w:tc>
      </w:tr>
      <w:tr>
        <w:trPr>
          <w:cantSplit/>
          <w:tblHeader/>
        </w:trPr>
        <w:tc>
          <w:tcPr>
            <w:tcW w:type="dxa" w:w="1951"/>
            <w:vMerge/>
          </w:tcPr>
          <w:p/>
        </w:tc>
        <w:tc>
          <w:tcPr>
            <w:tcW w:type="dxa" w:w="166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Daytime</w:t>
            </w:r>
          </w:p>
        </w:tc>
        <w:tc>
          <w:tcPr>
            <w:tcW w:type="dxa" w:w="166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Pre-sleep</w:t>
            </w:r>
          </w:p>
        </w:tc>
        <w:tc>
          <w:tcPr>
            <w:tcW w:type="dxa" w:w="166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Sleep</w:t>
            </w:r>
            <w:r>
              <w:rPr>
                <w:rFonts w:ascii="Arial" w:hAnsi="Arial"/>
                <w:b/>
                <w:i/>
                <w:color w:val="333333"/>
                <w:sz w:val="16"/>
                <w:vertAlign w:val="superscript"/>
              </w:rPr>
              <w:t>4</w:t>
            </w:r>
          </w:p>
        </w:tc>
        <w:tc>
          <w:tcPr>
            <w:tcW w:type="dxa" w:w="166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Total</w:t>
            </w:r>
            <w:r>
              <w:rPr>
                <w:rFonts w:ascii="Arial" w:hAnsi="Arial"/>
                <w:b/>
                <w:i/>
                <w:color w:val="333333"/>
                <w:sz w:val="16"/>
                <w:vertAlign w:val="superscript"/>
              </w:rPr>
              <w:t>5</w:t>
            </w:r>
          </w:p>
        </w:tc>
        <w:tc>
          <w:tcPr>
            <w:tcW w:type="dxa" w:w="166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Daytime</w:t>
            </w:r>
          </w:p>
        </w:tc>
        <w:tc>
          <w:tcPr>
            <w:tcW w:type="dxa" w:w="166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Pre-sleep</w:t>
            </w:r>
          </w:p>
        </w:tc>
        <w:tc>
          <w:tcPr>
            <w:tcW w:type="dxa" w:w="166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Sleep</w:t>
            </w:r>
          </w:p>
        </w:tc>
        <w:tc>
          <w:tcPr>
            <w:tcW w:type="dxa" w:w="166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Unclassified</w:t>
            </w:r>
            <w:r>
              <w:rPr>
                <w:rFonts w:ascii="Arial" w:hAnsi="Arial"/>
                <w:b/>
                <w:i/>
                <w:color w:val="333333"/>
                <w:sz w:val="16"/>
                <w:vertAlign w:val="superscript"/>
              </w:rPr>
              <w:t>6</w:t>
            </w:r>
          </w:p>
        </w:tc>
      </w:tr>
      <w:tr>
        <w:trPr>
          <w:cantSplit/>
        </w:trPr>
        <w:tc>
          <w:tcPr>
            <w:tcW w:type="dxa" w:w="195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Overall</w:t>
            </w:r>
          </w:p>
        </w:tc>
        <w:tc>
          <w:tcPr>
            <w:tcW w:type="dxa" w:w="1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24.0%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808080"/>
                <w:sz w:val="18"/>
              </w:rPr>
              <w:t>137,792 / 573,712</w:t>
            </w:r>
          </w:p>
        </w:tc>
        <w:tc>
          <w:tcPr>
            <w:tcW w:type="dxa" w:w="1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63.3%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808080"/>
                <w:sz w:val="18"/>
              </w:rPr>
              <w:t>81,894 / 129,390</w:t>
            </w:r>
          </w:p>
        </w:tc>
        <w:tc>
          <w:tcPr>
            <w:tcW w:type="dxa" w:w="1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87.7%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808080"/>
                <w:sz w:val="18"/>
              </w:rPr>
              <w:t>336,052 / 383,366</w:t>
            </w:r>
          </w:p>
        </w:tc>
        <w:tc>
          <w:tcPr>
            <w:tcW w:type="dxa" w:w="1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51.2%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808080"/>
                <w:sz w:val="18"/>
              </w:rPr>
              <w:t>555,738 / 1,086,468</w:t>
            </w:r>
          </w:p>
        </w:tc>
        <w:tc>
          <w:tcPr>
            <w:tcW w:type="dxa" w:w="1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51.6%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808080"/>
                <w:sz w:val="18"/>
              </w:rPr>
              <w:t>606,215 / 1,175,160</w:t>
            </w:r>
          </w:p>
        </w:tc>
        <w:tc>
          <w:tcPr>
            <w:tcW w:type="dxa" w:w="1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11.9%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808080"/>
                <w:sz w:val="18"/>
              </w:rPr>
              <w:t>140,152 / 1,175,160</w:t>
            </w:r>
          </w:p>
        </w:tc>
        <w:tc>
          <w:tcPr>
            <w:tcW w:type="dxa" w:w="1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32.6%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808080"/>
                <w:sz w:val="18"/>
              </w:rPr>
              <w:t>383,607 / 1,175,160</w:t>
            </w:r>
          </w:p>
        </w:tc>
        <w:tc>
          <w:tcPr>
            <w:tcW w:type="dxa" w:w="1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3.8%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808080"/>
                <w:sz w:val="18"/>
              </w:rPr>
              <w:t>45,186 / 1,175,160</w:t>
            </w:r>
          </w:p>
        </w:tc>
      </w:tr>
      <w:tr>
        <w:trPr>
          <w:cantSplit/>
        </w:trPr>
        <w:tc>
          <w:tcPr>
            <w:tcW w:type="dxa" w:w="1951"/>
            <w:vAlign w:val="center"/>
            <w:shd w:fill="D3D3D3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</w:p>
        </w:tc>
        <w:tc>
          <w:tcPr>
            <w:tcW w:type="dxa" w:w="1662"/>
            <w:vAlign w:val="center"/>
            <w:shd w:fill="D3D3D3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</w:p>
        </w:tc>
        <w:tc>
          <w:tcPr>
            <w:tcW w:type="dxa" w:w="1662"/>
            <w:vAlign w:val="center"/>
            <w:shd w:fill="D3D3D3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</w:p>
        </w:tc>
        <w:tc>
          <w:tcPr>
            <w:tcW w:type="dxa" w:w="1662"/>
            <w:vAlign w:val="center"/>
            <w:shd w:fill="D3D3D3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</w:p>
        </w:tc>
        <w:tc>
          <w:tcPr>
            <w:tcW w:type="dxa" w:w="1662"/>
            <w:vAlign w:val="center"/>
            <w:shd w:fill="D3D3D3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</w:p>
        </w:tc>
        <w:tc>
          <w:tcPr>
            <w:tcW w:type="dxa" w:w="1662"/>
            <w:vAlign w:val="center"/>
            <w:shd w:fill="D3D3D3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</w:p>
        </w:tc>
        <w:tc>
          <w:tcPr>
            <w:tcW w:type="dxa" w:w="1662"/>
            <w:vAlign w:val="center"/>
            <w:shd w:fill="D3D3D3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</w:p>
        </w:tc>
        <w:tc>
          <w:tcPr>
            <w:tcW w:type="dxa" w:w="1662"/>
            <w:vAlign w:val="center"/>
            <w:shd w:fill="D3D3D3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</w:p>
        </w:tc>
        <w:tc>
          <w:tcPr>
            <w:tcW w:type="dxa" w:w="1662"/>
            <w:vAlign w:val="center"/>
            <w:shd w:fill="D3D3D3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51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88CCEE"/>
                <w:sz w:val="20"/>
              </w:rPr>
              <w:t>Borås (SE)</w:t>
            </w:r>
          </w:p>
        </w:tc>
        <w:tc>
          <w:tcPr>
            <w:tcW w:type="dxa" w:w="1662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33.2%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19,225 / 57,952</w:t>
            </w:r>
          </w:p>
        </w:tc>
        <w:tc>
          <w:tcPr>
            <w:tcW w:type="dxa" w:w="1662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69.9%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8,914 / 12,759</w:t>
            </w:r>
          </w:p>
        </w:tc>
        <w:tc>
          <w:tcPr>
            <w:tcW w:type="dxa" w:w="1662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93.4%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33,152 / 35,489</w:t>
            </w:r>
          </w:p>
        </w:tc>
        <w:tc>
          <w:tcPr>
            <w:tcW w:type="dxa" w:w="1662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57.7%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61,291 / 106,200</w:t>
            </w:r>
          </w:p>
        </w:tc>
        <w:tc>
          <w:tcPr>
            <w:tcW w:type="dxa" w:w="1662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54.0%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60,642 / 112,260</w:t>
            </w:r>
          </w:p>
        </w:tc>
        <w:tc>
          <w:tcPr>
            <w:tcW w:type="dxa" w:w="1662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12.2%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13,704 / 112,260</w:t>
            </w:r>
          </w:p>
        </w:tc>
        <w:tc>
          <w:tcPr>
            <w:tcW w:type="dxa" w:w="1662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31.7%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35,549 / 112,260</w:t>
            </w:r>
          </w:p>
        </w:tc>
        <w:tc>
          <w:tcPr>
            <w:tcW w:type="dxa" w:w="1662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2.1%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2,365 / 112,260</w:t>
            </w:r>
          </w:p>
        </w:tc>
      </w:tr>
      <w:tr>
        <w:trPr>
          <w:cantSplit/>
        </w:trPr>
        <w:tc>
          <w:tcPr>
            <w:tcW w:type="dxa" w:w="1951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117733"/>
                <w:sz w:val="20"/>
              </w:rPr>
              <w:t>Delft (NL)</w:t>
            </w:r>
          </w:p>
        </w:tc>
        <w:tc>
          <w:tcPr>
            <w:tcW w:type="dxa" w:w="1662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29.6%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14,760 / 49,852</w:t>
            </w:r>
          </w:p>
        </w:tc>
        <w:tc>
          <w:tcPr>
            <w:tcW w:type="dxa" w:w="1662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66.7%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7,181 / 10,774</w:t>
            </w:r>
          </w:p>
        </w:tc>
        <w:tc>
          <w:tcPr>
            <w:tcW w:type="dxa" w:w="1662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86.4%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29,915 / 34,621</w:t>
            </w:r>
          </w:p>
        </w:tc>
        <w:tc>
          <w:tcPr>
            <w:tcW w:type="dxa" w:w="1662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54.4%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51,856 / 95,247</w:t>
            </w:r>
          </w:p>
        </w:tc>
        <w:tc>
          <w:tcPr>
            <w:tcW w:type="dxa" w:w="1662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47.0%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52,755 / 112,260</w:t>
            </w:r>
          </w:p>
        </w:tc>
        <w:tc>
          <w:tcPr>
            <w:tcW w:type="dxa" w:w="1662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10.9%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12,283 / 112,260</w:t>
            </w:r>
          </w:p>
        </w:tc>
        <w:tc>
          <w:tcPr>
            <w:tcW w:type="dxa" w:w="1662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30.9%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34,682 / 112,260</w:t>
            </w:r>
          </w:p>
        </w:tc>
        <w:tc>
          <w:tcPr>
            <w:tcW w:type="dxa" w:w="1662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11.2%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12,540 / 112,260</w:t>
            </w:r>
          </w:p>
        </w:tc>
      </w:tr>
      <w:tr>
        <w:trPr>
          <w:cantSplit/>
        </w:trPr>
        <w:tc>
          <w:tcPr>
            <w:tcW w:type="dxa" w:w="1951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DDCC77"/>
                <w:sz w:val="20"/>
              </w:rPr>
              <w:t>Dortmund (DE)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32.4%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22,631 / 69,900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59.6%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9,749 / 16,361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87.5%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42,829 / 48,928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55.6%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75,209 / 135,189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48.1%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74,094 / 154,080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11.3%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17,409 / 154,080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31.8%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48,928 / 154,080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8.9%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13,649 / 154,080</w:t>
            </w:r>
          </w:p>
        </w:tc>
      </w:tr>
      <w:tr>
        <w:trPr>
          <w:cantSplit/>
        </w:trPr>
        <w:tc>
          <w:tcPr>
            <w:tcW w:type="dxa" w:w="1951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DDCC77"/>
                <w:sz w:val="20"/>
              </w:rPr>
              <w:t>Tübingen (DE)</w:t>
            </w:r>
          </w:p>
        </w:tc>
        <w:tc>
          <w:tcPr>
            <w:tcW w:type="dxa" w:w="1662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22.5%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25,082 / 111,396</w:t>
            </w:r>
          </w:p>
        </w:tc>
        <w:tc>
          <w:tcPr>
            <w:tcW w:type="dxa" w:w="1662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61.8%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15,623 / 25,283</w:t>
            </w:r>
          </w:p>
        </w:tc>
        <w:tc>
          <w:tcPr>
            <w:tcW w:type="dxa" w:w="1662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87.1%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61,030 / 70,029</w:t>
            </w:r>
          </w:p>
        </w:tc>
        <w:tc>
          <w:tcPr>
            <w:tcW w:type="dxa" w:w="1662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49.2%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101,735 / 206,708</w:t>
            </w:r>
          </w:p>
        </w:tc>
        <w:tc>
          <w:tcPr>
            <w:tcW w:type="dxa" w:w="1662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55.1%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119,150 / 216,120</w:t>
            </w:r>
          </w:p>
        </w:tc>
        <w:tc>
          <w:tcPr>
            <w:tcW w:type="dxa" w:w="1662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12.4%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26,881 / 216,120</w:t>
            </w:r>
          </w:p>
        </w:tc>
        <w:tc>
          <w:tcPr>
            <w:tcW w:type="dxa" w:w="1662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32.4%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70,089 / 216,120</w:t>
            </w:r>
          </w:p>
        </w:tc>
        <w:tc>
          <w:tcPr>
            <w:tcW w:type="dxa" w:w="1662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0 / 216,120</w:t>
            </w:r>
          </w:p>
        </w:tc>
      </w:tr>
      <w:tr>
        <w:trPr>
          <w:cantSplit/>
        </w:trPr>
        <w:tc>
          <w:tcPr>
            <w:tcW w:type="dxa" w:w="1951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DDCC77"/>
                <w:sz w:val="20"/>
              </w:rPr>
              <w:t>Munich (DE)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25.0%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10,681 / 42,685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60.6%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5,963 / 9,833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71.7%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21,485 / 29,951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46.2%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38,129 / 82,469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53.0%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45,831 / 86,400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12.3%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10,618 / 86,400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34.7%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29,951 / 86,400</w:t>
            </w:r>
          </w:p>
        </w:tc>
        <w:tc>
          <w:tcPr>
            <w:tcW w:type="dxa" w:w="1662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0 / 86,400</w:t>
            </w:r>
          </w:p>
        </w:tc>
      </w:tr>
      <w:tr>
        <w:trPr>
          <w:cantSplit/>
        </w:trPr>
        <w:tc>
          <w:tcPr>
            <w:tcW w:type="dxa" w:w="1951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CC6677"/>
                <w:sz w:val="20"/>
              </w:rPr>
              <w:t>Madrid (ES)</w:t>
            </w:r>
          </w:p>
        </w:tc>
        <w:tc>
          <w:tcPr>
            <w:tcW w:type="dxa" w:w="1662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24.2%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21,067 / 87,030</w:t>
            </w:r>
          </w:p>
        </w:tc>
        <w:tc>
          <w:tcPr>
            <w:tcW w:type="dxa" w:w="1662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62.7%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12,766 / 20,366</w:t>
            </w:r>
          </w:p>
        </w:tc>
        <w:tc>
          <w:tcPr>
            <w:tcW w:type="dxa" w:w="1662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95.9%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58,374 / 60,891</w:t>
            </w:r>
          </w:p>
        </w:tc>
        <w:tc>
          <w:tcPr>
            <w:tcW w:type="dxa" w:w="1662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54.8%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92,207 / 168,287</w:t>
            </w:r>
          </w:p>
        </w:tc>
        <w:tc>
          <w:tcPr>
            <w:tcW w:type="dxa" w:w="1662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48.4%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89,948 / 185,880</w:t>
            </w:r>
          </w:p>
        </w:tc>
        <w:tc>
          <w:tcPr>
            <w:tcW w:type="dxa" w:w="1662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11.7%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21,684 / 185,880</w:t>
            </w:r>
          </w:p>
        </w:tc>
        <w:tc>
          <w:tcPr>
            <w:tcW w:type="dxa" w:w="1662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32.8%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60,891 / 185,880</w:t>
            </w:r>
          </w:p>
        </w:tc>
        <w:tc>
          <w:tcPr>
            <w:tcW w:type="dxa" w:w="1662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7.2%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13,357 / 185,880</w:t>
            </w:r>
          </w:p>
        </w:tc>
      </w:tr>
      <w:tr>
        <w:trPr>
          <w:cantSplit/>
        </w:trPr>
        <w:tc>
          <w:tcPr>
            <w:tcW w:type="dxa" w:w="1951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2288"/>
                <w:sz w:val="20"/>
              </w:rPr>
              <w:t>Izmir (TR)</w:t>
            </w:r>
          </w:p>
        </w:tc>
        <w:tc>
          <w:tcPr>
            <w:tcW w:type="dxa" w:w="1662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17.8%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12,708 / 71,562</w:t>
            </w:r>
          </w:p>
        </w:tc>
        <w:tc>
          <w:tcPr>
            <w:tcW w:type="dxa" w:w="1662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55.1%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9,221 / 16,736</w:t>
            </w:r>
          </w:p>
        </w:tc>
        <w:tc>
          <w:tcPr>
            <w:tcW w:type="dxa" w:w="1662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79.0%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39,936 / 50,556</w:t>
            </w:r>
          </w:p>
        </w:tc>
        <w:tc>
          <w:tcPr>
            <w:tcW w:type="dxa" w:w="1662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44.6%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61,865 / 138,854</w:t>
            </w:r>
          </w:p>
        </w:tc>
        <w:tc>
          <w:tcPr>
            <w:tcW w:type="dxa" w:w="1662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51.5%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74,926 / 145,440</w:t>
            </w:r>
          </w:p>
        </w:tc>
        <w:tc>
          <w:tcPr>
            <w:tcW w:type="dxa" w:w="1662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12.3%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17,883 / 145,440</w:t>
            </w:r>
          </w:p>
        </w:tc>
        <w:tc>
          <w:tcPr>
            <w:tcW w:type="dxa" w:w="1662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34.8%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50,556 / 145,440</w:t>
            </w:r>
          </w:p>
        </w:tc>
        <w:tc>
          <w:tcPr>
            <w:tcW w:type="dxa" w:w="1662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1.4%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2,075 / 145,440</w:t>
            </w:r>
          </w:p>
        </w:tc>
      </w:tr>
      <w:tr>
        <w:trPr>
          <w:cantSplit/>
        </w:trPr>
        <w:tc>
          <w:tcPr>
            <w:tcW w:type="dxa" w:w="1951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44AA99"/>
                <w:sz w:val="20"/>
              </w:rPr>
              <w:t>San José (CR)</w:t>
            </w:r>
          </w:p>
        </w:tc>
        <w:tc>
          <w:tcPr>
            <w:tcW w:type="dxa" w:w="1662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13.8%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3,266 / 23,640</w:t>
            </w:r>
          </w:p>
        </w:tc>
        <w:tc>
          <w:tcPr>
            <w:tcW w:type="dxa" w:w="1662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64.6%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3,124 / 4,839</w:t>
            </w:r>
          </w:p>
        </w:tc>
        <w:tc>
          <w:tcPr>
            <w:tcW w:type="dxa" w:w="1662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87.1%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12,438 / 14,275</w:t>
            </w:r>
          </w:p>
        </w:tc>
        <w:tc>
          <w:tcPr>
            <w:tcW w:type="dxa" w:w="1662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44.0%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18,828 / 42,754</w:t>
            </w:r>
          </w:p>
        </w:tc>
        <w:tc>
          <w:tcPr>
            <w:tcW w:type="dxa" w:w="1662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54.9%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25,285 / 46,080</w:t>
            </w:r>
          </w:p>
        </w:tc>
        <w:tc>
          <w:tcPr>
            <w:tcW w:type="dxa" w:w="1662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11.5%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5,320 / 46,080</w:t>
            </w:r>
          </w:p>
        </w:tc>
        <w:tc>
          <w:tcPr>
            <w:tcW w:type="dxa" w:w="1662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31.0%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14,275 / 46,080</w:t>
            </w:r>
          </w:p>
        </w:tc>
        <w:tc>
          <w:tcPr>
            <w:tcW w:type="dxa" w:w="1662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2.6%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1,200 / 46,080</w:t>
            </w:r>
          </w:p>
        </w:tc>
      </w:tr>
      <w:tr>
        <w:trPr>
          <w:cantSplit/>
        </w:trPr>
        <w:tc>
          <w:tcPr>
            <w:tcW w:type="dxa" w:w="1951"/>
            <w:vAlign w:val="center"/>
            <w:shd w:fill="F2ED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AA4499"/>
                <w:sz w:val="20"/>
              </w:rPr>
              <w:t>Kumasi (GH)</w:t>
            </w:r>
          </w:p>
        </w:tc>
        <w:tc>
          <w:tcPr>
            <w:tcW w:type="dxa" w:w="1662"/>
            <w:vAlign w:val="center"/>
            <w:shd w:fill="F2ED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14.0%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8,372 / 59,695</w:t>
            </w:r>
          </w:p>
        </w:tc>
        <w:tc>
          <w:tcPr>
            <w:tcW w:type="dxa" w:w="1662"/>
            <w:vAlign w:val="center"/>
            <w:shd w:fill="F2ED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75.2%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9,353 / 12,439</w:t>
            </w:r>
          </w:p>
        </w:tc>
        <w:tc>
          <w:tcPr>
            <w:tcW w:type="dxa" w:w="1662"/>
            <w:vAlign w:val="center"/>
            <w:shd w:fill="F2ED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95.5%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36,893 / 38,626</w:t>
            </w:r>
          </w:p>
        </w:tc>
        <w:tc>
          <w:tcPr>
            <w:tcW w:type="dxa" w:w="1662"/>
            <w:vAlign w:val="center"/>
            <w:shd w:fill="F2ED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49.3%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54,618 / 110,760</w:t>
            </w:r>
          </w:p>
        </w:tc>
        <w:tc>
          <w:tcPr>
            <w:tcW w:type="dxa" w:w="1662"/>
            <w:vAlign w:val="center"/>
            <w:shd w:fill="F2ED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54.5%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63,584 / 116,640</w:t>
            </w:r>
          </w:p>
        </w:tc>
        <w:tc>
          <w:tcPr>
            <w:tcW w:type="dxa" w:w="1662"/>
            <w:vAlign w:val="center"/>
            <w:shd w:fill="F2ED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12.3%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14,370 / 116,640</w:t>
            </w:r>
          </w:p>
        </w:tc>
        <w:tc>
          <w:tcPr>
            <w:tcW w:type="dxa" w:w="1662"/>
            <w:vAlign w:val="center"/>
            <w:shd w:fill="F2ED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33.2%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38,686 / 116,640</w:t>
            </w:r>
          </w:p>
        </w:tc>
        <w:tc>
          <w:tcPr>
            <w:tcW w:type="dxa" w:w="1662"/>
            <w:vAlign w:val="center"/>
            <w:shd w:fill="F2ED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0.0%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0 / 116,640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1</w:t>
      </w:r>
      <w:r>
        <w:rPr>
          <w:rFonts w:ascii="Arial" w:hAnsi="Arial"/>
          <w:b w:val="0"/>
          <w:i w:val="0"/>
          <w:color w:val="444444"/>
          <w:sz w:val="18"/>
        </w:rPr>
        <w:t xml:space="preserve"> Near eye participant and participant-day sample sizes are reported in the participant table; every percentage cell gives its exact minute denominator.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2</w:t>
      </w:r>
      <w:r>
        <w:rPr>
          <w:rFonts w:ascii="Arial" w:hAnsi="Arial"/>
          <w:b w:val="0"/>
          <w:i w:val="0"/>
          <w:color w:val="444444"/>
          <w:sz w:val="18"/>
        </w:rPr>
        <w:t xml:space="preserve"> Recommended ranges follow Brown et al. (2022): Daytime ≥250 lx melanopic EDI, Pre-sleep ≤10 lx melanopic EDI, and Sleep ≤1 lx melanopic EDI. Daytime, Pre-sleep, and Sleep identify the recommendation windows. Each grey numerator/denominator gives minutes within the applicable recommendation range over all valid one-minute observations in that window. Sleep describes the bedside sleep environment.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3</w:t>
      </w:r>
      <w:r>
        <w:rPr>
          <w:rFonts w:ascii="Arial" w:hAnsi="Arial"/>
          <w:b w:val="0"/>
          <w:i w:val="0"/>
          <w:color w:val="444444"/>
          <w:sz w:val="18"/>
        </w:rPr>
        <w:t xml:space="preserve"> Each grey relevant / all count gives minutes in the displayed diary state over all eligible real minutes before classification by diary state or measurement availability.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4</w:t>
      </w:r>
      <w:r>
        <w:rPr>
          <w:rFonts w:ascii="Arial" w:hAnsi="Arial"/>
          <w:b w:val="0"/>
          <w:i w:val="0"/>
          <w:color w:val="444444"/>
          <w:sz w:val="18"/>
        </w:rPr>
        <w:t xml:space="preserve"> During diary-defined sleep the bedside sensor describes the sleep environment rather than direct ocular exposure.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5</w:t>
      </w:r>
      <w:r>
        <w:rPr>
          <w:rFonts w:ascii="Arial" w:hAnsi="Arial"/>
          <w:b w:val="0"/>
          <w:i w:val="0"/>
          <w:color w:val="444444"/>
          <w:sz w:val="18"/>
        </w:rPr>
        <w:t xml:space="preserve"> Total pools all classified valid minutes.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6</w:t>
      </w:r>
      <w:r>
        <w:rPr>
          <w:rFonts w:ascii="Arial" w:hAnsi="Arial"/>
          <w:b w:val="0"/>
          <w:i w:val="0"/>
          <w:color w:val="444444"/>
          <w:sz w:val="18"/>
        </w:rPr>
        <w:t xml:space="preserve"> Unclassified time can result from missing diary state, missing or removed melEDI measurements, or both.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S3.</w:t>
      </w:r>
      <w:r>
        <w:rPr>
          <w:rFonts w:ascii="Arial" w:hAnsi="Arial"/>
          <w:b w:val="0"/>
          <w:i w:val="0"/>
          <w:color w:val="333333"/>
          <w:sz w:val="20"/>
        </w:rPr>
        <w:t xml:space="preserve"> Fractions of valid near-eye minutes meeting each Brown et al. recommendation range, with explicit numerators and denominators. Daytime, Pre-sleep, and Sleep identify the recommendation windows. The Sleep summaries use near-eye illuminance recorded during sleep and describe the bedside sleep environment rather than verified ocular exposure. These pooled-minute summaries are descriptive and differ from the modelled recommendation-window-period estimates in main Table 2.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