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multiscale architecture of personal light exposure</w:t>
      </w:r>
    </w:p>
    <w:p>
      <w:pPr>
        <w:pStyle w:val="Subtitle"/>
      </w:pPr>
      <w:r>
        <w:t xml:space="preserve">Phase 3 Brown-integrated author-review revision</w:t>
      </w:r>
    </w:p>
    <w:p>
      <w:pPr>
        <w:pStyle w:val="Author"/>
      </w:pPr>
      <w:r>
        <w:t xml:space="preserve">Johannes Zauner</w:t>
      </w:r>
    </w:p>
    <w:p>
      <w:pPr>
        <w:pStyle w:val="Author"/>
      </w:pPr>
      <w:r>
        <w:t xml:space="preserve">Altug Didikoglu</w:t>
      </w:r>
    </w:p>
    <w:p>
      <w:pPr>
        <w:pStyle w:val="Author"/>
      </w:pPr>
      <w:r>
        <w:t xml:space="preserve">Sam Aerts</w:t>
      </w:r>
    </w:p>
    <w:p>
      <w:pPr>
        <w:pStyle w:val="Author"/>
      </w:pPr>
      <w:r>
        <w:t xml:space="preserve">Gabriel Kwaku Agbeshie</w:t>
      </w:r>
    </w:p>
    <w:p>
      <w:pPr>
        <w:pStyle w:val="Author"/>
      </w:pPr>
      <w:r>
        <w:t xml:space="preserve">Kwadwo Owusu Akuffo</w:t>
      </w:r>
    </w:p>
    <w:p>
      <w:pPr>
        <w:pStyle w:val="Author"/>
      </w:pPr>
      <w:r>
        <w:t xml:space="preserve">Sena Gulsum Akgun</w:t>
      </w:r>
    </w:p>
    <w:p>
      <w:pPr>
        <w:pStyle w:val="Author"/>
      </w:pPr>
      <w:r>
        <w:t xml:space="preserve">Sema Nur Aydin</w:t>
      </w:r>
    </w:p>
    <w:p>
      <w:pPr>
        <w:pStyle w:val="Author"/>
      </w:pPr>
      <w:r>
        <w:t xml:space="preserve">David Baeza Moyano</w:t>
      </w:r>
    </w:p>
    <w:p>
      <w:pPr>
        <w:pStyle w:val="Author"/>
      </w:pPr>
      <w:r>
        <w:t xml:space="preserve">Daan Boesten</w:t>
      </w:r>
    </w:p>
    <w:p>
      <w:pPr>
        <w:pStyle w:val="Author"/>
      </w:pPr>
      <w:r>
        <w:t xml:space="preserve">John F.B. Bolte</w:t>
      </w:r>
    </w:p>
    <w:p>
      <w:pPr>
        <w:pStyle w:val="Author"/>
      </w:pPr>
      <w:r>
        <w:t xml:space="preserve">Kai Broszio</w:t>
      </w:r>
    </w:p>
    <w:p>
      <w:pPr>
        <w:pStyle w:val="Author"/>
      </w:pPr>
      <w:r>
        <w:t xml:space="preserve">Guadalupe Cantarero García</w:t>
      </w:r>
    </w:p>
    <w:p>
      <w:pPr>
        <w:pStyle w:val="Author"/>
      </w:pPr>
      <w:r>
        <w:t xml:space="preserve">Roberto Alonso González Lezcano</w:t>
      </w:r>
    </w:p>
    <w:p>
      <w:pPr>
        <w:pStyle w:val="Author"/>
      </w:pPr>
      <w:r>
        <w:t xml:space="preserve">Carolina Guidolin</w:t>
      </w:r>
    </w:p>
    <w:p>
      <w:pPr>
        <w:pStyle w:val="Author"/>
      </w:pPr>
      <w:r>
        <w:t xml:space="preserve">Sarina Hilden</w:t>
      </w:r>
    </w:p>
    <w:p>
      <w:pPr>
        <w:pStyle w:val="Author"/>
      </w:pPr>
      <w:r>
        <w:t xml:space="preserve">Nico Hogervorst</w:t>
      </w:r>
    </w:p>
    <w:p>
      <w:pPr>
        <w:pStyle w:val="Author"/>
      </w:pPr>
      <w:r>
        <w:t xml:space="preserve">Astrid Jansen</w:t>
      </w:r>
    </w:p>
    <w:p>
      <w:pPr>
        <w:pStyle w:val="Author"/>
      </w:pPr>
      <w:r>
        <w:t xml:space="preserve">Zeynep Kayar</w:t>
      </w:r>
    </w:p>
    <w:p>
      <w:pPr>
        <w:pStyle w:val="Author"/>
      </w:pPr>
      <w:r>
        <w:t xml:space="preserve">Stefan Källberg</w:t>
      </w:r>
    </w:p>
    <w:p>
      <w:pPr>
        <w:pStyle w:val="Author"/>
      </w:pPr>
      <w:r>
        <w:t xml:space="preserve">Suyoun Lee</w:t>
      </w:r>
    </w:p>
    <w:p>
      <w:pPr>
        <w:pStyle w:val="Author"/>
      </w:pPr>
      <w:r>
        <w:t xml:space="preserve">Sofía Melero Tur</w:t>
      </w:r>
    </w:p>
    <w:p>
      <w:pPr>
        <w:pStyle w:val="Author"/>
      </w:pPr>
      <w:r>
        <w:t xml:space="preserve">Maria Nilsson Tengelin</w:t>
      </w:r>
    </w:p>
    <w:p>
      <w:pPr>
        <w:pStyle w:val="Author"/>
      </w:pPr>
      <w:r>
        <w:t xml:space="preserve">María Concepción Pérez Gutiérrez</w:t>
      </w:r>
    </w:p>
    <w:p>
      <w:pPr>
        <w:pStyle w:val="Author"/>
      </w:pPr>
      <w:r>
        <w:t xml:space="preserve">Andrea Sancho-Salas</w:t>
      </w:r>
    </w:p>
    <w:p>
      <w:pPr>
        <w:pStyle w:val="Author"/>
      </w:pPr>
      <w:r>
        <w:t xml:space="preserve">Oliver Stefani</w:t>
      </w:r>
    </w:p>
    <w:p>
      <w:pPr>
        <w:pStyle w:val="Author"/>
      </w:pPr>
      <w:r>
        <w:t xml:space="preserve">Ingemar Svensson</w:t>
      </w:r>
    </w:p>
    <w:p>
      <w:pPr>
        <w:pStyle w:val="Author"/>
      </w:pPr>
      <w:r>
        <w:t xml:space="preserve">Helga von-Breymann</w:t>
      </w:r>
    </w:p>
    <w:p>
      <w:pPr>
        <w:pStyle w:val="Author"/>
      </w:pPr>
      <w:r>
        <w:t xml:space="preserve">Manuel Spitschan</w:t>
      </w:r>
    </w:p>
    <w:p>
      <w:pPr>
        <w:pStyle w:val="Date"/>
      </w:pPr>
      <w:r>
        <w:t xml:space="preserve">2026-08-21</w:t>
      </w:r>
    </w:p>
    <w:p>
      <w:pPr>
        <w:pStyle w:val="AbstractTitle"/>
      </w:pPr>
      <w:r>
        <w:t xml:space="preserve">Provisional abstract</w:t>
      </w:r>
    </w:p>
    <w:p>
      <w:pPr>
        <w:pStyle w:val="Abstract"/>
      </w:pPr>
      <w:r>
        <w:t xml:space="preserve">Personal light exposure is associated with sleep, mental, metabolic and cardiovascular health, but its everyday multiscale architecture is unresolved. We analysed 191 adults across nine sites in seven countries; 184 contributed 1,478 recorded participant-days. Screened near-eye data comprised 141 adults and 816 days, with complementary chest data from 154 adults and 902 days. Exposure followed a shared 24-hour rhythm. In the near-eye model, common time received 78.9% of in-sample model-fit credit, participant curves 12.9%, participant-day shifts 6.2% and site curves 2.0%; participant curves plus day shifts received 9.49 times the site credit. Only 24.0% of valid waking minutes reached the recommended daytime range. Free-minus-Work adherence differed by -4.9 percentage points during Wake, +8.0 during Pre-sleep and -6.1 during Sleep, with site variation in Wake and Sleep. Immediate context produced the largest exposure contrasts. This observational study establishes a multisite ocular-exposure baseline, but measured no health outcome.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Author-review status</w:t>
            </w:r>
          </w:p>
        </w:tc>
      </w:tr>
      <w:tr>
        <w:trPr>
          <w:cantSplit/>
        </w:trPr>
        <w:tc>
          <w:tcPr>
            <w:tcMar>
              <w:top w:w="108" w:type="dxa"/>
              <w:bottom w:w="108" w:type="dxa"/>
            </w:tcMar>
          </w:tcPr>
          <w:p>
            <w:pPr>
              <w:pStyle w:val="BodyText"/>
            </w:pPr>
            <w:pPr>
              <w:spacing w:before="16" w:after="16"/>
            </w:pPr>
            <w:r>
              <w:t xml:space="preserve">The accepted Brown recommendation-adherence results are integrated in this source. Manuscript display selection remains pending. After the approved figures are integrated, the lead author will write over the complete manuscript before returning it for a final scientific and editorial overview. The author list, repository statements, funding, contributions and competing interests have been carried forward from the original submission following author confirmation. The Methods report the author-confirmed formative input from participants at the Tübingen (DE) site without describing it as formal participant or community co-design. The AI-assistance statement and final approval by all authors remain provisional. This note is not part of the proposed journal text.</w:t>
            </w:r>
          </w:p>
          <w:p/>
        </w:tc>
      </w:tr>
    </w:tbl>
    <w:p>
      <w:pPr>
        <w:pStyle w:val="BodyText"/>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or melanopic EDI, weights illuminance for melanopsin-related sensitivity</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BodyText"/>
      </w:pPr>
      <w:r>
        <w:t xml:space="preserve">Population studies and recent reviews connect personal light patterns with health-relevant outcomes</w:t>
      </w:r>
      <w:hyperlink w:anchor="ref-spitschan2026a">
        <w:r>
          <w:rPr>
            <w:rStyle w:val="Hyperlink"/>
            <w:vertAlign w:val="superscript"/>
          </w:rPr>
          <w:t xml:space="preserve">9</w:t>
        </w:r>
      </w:hyperlink>
      <w:r>
        <w:t xml:space="preserve">. Wrist-sensor studies have associated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related evening, nocturnal or seasonal light to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observational studies establish population-level relevance, but mostly measured broad-spectrum light at the wrist or bedside and cannot supply a melanopic ocular dose-response relationship.</w:t>
      </w:r>
    </w:p>
    <w:p>
      <w:pPr>
        <w:pStyle w:val="BodyText"/>
      </w:pPr>
      <w:r>
        <w:t xml:space="preserve">The missing link is an everyday exposure baseline against the physiology-based recommendations. Natural and electric light produce an expected 24-hour rhythm, confirmed in large wrist-sensor cohorts</w:t>
      </w:r>
      <w:hyperlink w:anchor="ref-wallace2025">
        <w:r>
          <w:rPr>
            <w:rStyle w:val="Hyperlink"/>
            <w:vertAlign w:val="superscript"/>
          </w:rPr>
          <w:t xml:space="preserve">20</w:t>
        </w:r>
      </w:hyperlink>
      <w:r>
        <w:t xml:space="preserve">, while previous studies have characterised particular populations, occupations or settings</w:t>
      </w:r>
      <w:hyperlink w:anchor="ref-savides1986">
        <w:r>
          <w:rPr>
            <w:rStyle w:val="Hyperlink"/>
            <w:vertAlign w:val="superscript"/>
          </w:rPr>
          <w:t xml:space="preserve">21</w:t>
        </w:r>
      </w:hyperlink>
      <w:r>
        <w:rPr>
          <w:vertAlign w:val="superscript"/>
        </w:rPr>
        <w:t xml:space="preserve">–</w:t>
      </w:r>
      <w:hyperlink w:anchor="ref-tengelin2025">
        <w:r>
          <w:rPr>
            <w:rStyle w:val="Hyperlink"/>
            <w:vertAlign w:val="superscript"/>
          </w:rPr>
          <w:t xml:space="preserve">26</w:t>
        </w:r>
      </w:hyperlink>
      <w:r>
        <w:t xml:space="preserve">. Its absolute amplitude and timing across sites and countries, and the contributions of time, site, person, recorded day and immediate context, remain uncertain. Daylight availability, satellite estimates and fixed-site measurements cannot resolve these layers because people move among buildings, transport, outdoor spaces and sleep environments</w:t>
      </w:r>
      <w:hyperlink w:anchor="ref-huss2019corrected">
        <w:r>
          <w:rPr>
            <w:rStyle w:val="Hyperlink"/>
            <w:vertAlign w:val="superscript"/>
          </w:rPr>
          <w:t xml:space="preserve">27</w:t>
        </w:r>
      </w:hyperlink>
      <w:r>
        <w:t xml:space="preserve">. Sensor position also matters: near-eye sensing is closer to the incident ocular field but not a retinal measurement, while wrist and chest sensors capture related fields shaped differently by posture, wear and occlusion</w:t>
      </w:r>
      <w:hyperlink w:anchor="ref-vanduijnhoven2025">
        <w:r>
          <w:rPr>
            <w:rStyle w:val="Hyperlink"/>
            <w:vertAlign w:val="superscript"/>
          </w:rPr>
          <w:t xml:space="preserve">28</w:t>
        </w:r>
      </w:hyperlink>
      <w:r>
        <w:rPr>
          <w:vertAlign w:val="superscript"/>
        </w:rPr>
        <w:t xml:space="preserve">–</w:t>
      </w:r>
      <w:hyperlink w:anchor="ref-zauner2026placementpreprint">
        <w:r>
          <w:rPr>
            <w:rStyle w:val="Hyperlink"/>
            <w:vertAlign w:val="superscript"/>
          </w:rPr>
          <w:t xml:space="preserve">34</w:t>
        </w:r>
      </w:hyperlink>
      <w:r>
        <w:t xml:space="preserve">.</w:t>
      </w:r>
    </w:p>
    <w:p>
      <w:pPr>
        <w:pStyle w:val="BodyText"/>
      </w:pPr>
      <w:r>
        <w:t xml:space="preserve">We used the harmonised MeLiDos protocol to measure personal light across nine sites in seven countries</w:t>
      </w:r>
      <w:hyperlink w:anchor="ref-spitschan2024">
        <w:r>
          <w:rPr>
            <w:rStyle w:val="Hyperlink"/>
            <w:vertAlign w:val="superscript"/>
          </w:rPr>
          <w:t xml:space="preserve">35</w:t>
        </w:r>
      </w:hyperlink>
      <w:r>
        <w:rPr>
          <w:vertAlign w:val="superscript"/>
        </w:rPr>
        <w:t xml:space="preserve">,</w:t>
      </w:r>
      <w:hyperlink w:anchor="ref-guidolin2024">
        <w:r>
          <w:rPr>
            <w:rStyle w:val="Hyperlink"/>
            <w:vertAlign w:val="superscript"/>
          </w:rPr>
          <w:t xml:space="preserve">36</w:t>
        </w:r>
      </w:hyperlink>
      <w:r>
        <w:t xml:space="preserve">. The primary near-eye sensor position characterised ocular light exposure during wear, accompanied by diaries, hourly light-source and activity reports, sleep information and participant questionnaires. The complementary chest sensor position provided non-ocular environmental evidence and a more acceptable option for potential participants who were reluctant to wear the light glasses. We aimed to establish a multisite everyday baseline against the recommendation contexts and to separate a shared local-clock pattern from site and photoperiod, participant and participant-day, immediate environment and routine, and selected person-level correlates. This nested structure is what we mean by the multiscale architecture of personal light exposure.</w:t>
      </w:r>
    </w:p>
    <w:bookmarkStart w:id="18" w:name="results"/>
    <w:p>
      <w:pPr>
        <w:pStyle w:val="Heading1"/>
      </w:pPr>
      <w:r>
        <w:t xml:space="preserve">Results</w:t>
      </w:r>
    </w:p>
    <w:bookmarkStart w:id="12" w:name="X907c789c75fb6cb85e5a63ea452e5d4b58573a0"/>
    <w:p>
      <w:pPr>
        <w:pStyle w:val="Heading2"/>
      </w:pPr>
      <w:r>
        <w:t xml:space="preserve">A multisite baseline and recommendation adherence</w:t>
      </w:r>
    </w:p>
    <w:p>
      <w:pPr>
        <w:pStyle w:val="FirstParagraph"/>
      </w:pPr>
      <w:r>
        <w:t xml:space="preserve">The normalised roster contained 191 participants across Borås (SE), Delft (NL), Dortmund (DE), Tübingen (DE), Munich (DE), Madrid (ES), Izmir (TR), San José (CR) and Kumasi (GH). Of these, 184 contributed 1,478 participant-days with recorded non-all-zero light data at either position before the main screens. The screened near-eye dataset contained 141 participants and 816 participant-days, the complementary chest dataset 154 and 902, and the common sample 112 and 643. Near-eye measurements are primary evidence for ocular exposure during wear; chest measurements are non-ocular, and both positions describe the bedside sleep environment during reported sleep.</w:t>
      </w:r>
    </w:p>
    <w:p>
      <w:pPr>
        <w:pStyle w:val="BodyText"/>
      </w:pPr>
      <w:r>
        <w:t xml:space="preserve">The pooled near-eye record showed the expected 24-hour rhythm: low overnight exposure, a morning increase, higher daytime values and an evening decline. Seventeen complementary metrics represented thematic streams rather than one exposure score. Level metrics described daily and bright or dark 10-hour window means; duration and timing metrics described exposure contexts, sustained bright periods, windows and threshold crossings. Dose integrated intensity over time, regularity captured stability and fragmentation, and melanopic daylight efficacy described melanopic relative to visual illuminance. These features are not interchangeable health-response estimates.</w:t>
      </w:r>
    </w:p>
    <w:p>
      <w:pPr>
        <w:pStyle w:val="BodyText"/>
      </w:pPr>
      <w:r>
        <w:t xml:space="preserve">Comparison with the consensus contexts revealed different patterns across the day. Of 573,712 valid waking minutes, 137,792, or 24.0%, reached at least 250 lx melanopic EDI. Of 129,390 valid minutes during the three hours before sleep, 81,894, or 63.3%, were at or below 10 lx. Of 383,366 valid minutes during reported sleep, 336,052, or 87.7%, were at or below 1 lx. The last quantity refers to the bedside sleep environment because the device was not worn at the eye during sleep.</w:t>
      </w:r>
    </w:p>
    <w:p>
      <w:pPr>
        <w:pStyle w:val="BodyText"/>
      </w:pPr>
      <w:r>
        <w:t xml:space="preserve">These percentages pool valid measured minutes within each diary state. They describe how often recorded exposure lay within a recommendation context, not a binary participant classification. The state-period analysis below instead retained each period’s valid-minute denominator and exact 0% and 100% values. Neither estimand measures a biological response or assigns health risk to a participant.</w:t>
      </w:r>
    </w:p>
    <w:p>
      <w:pPr>
        <w:pStyle w:val="BodyText"/>
      </w:pPr>
      <w:r>
        <w:t xml:space="preserve">The main adherence model included 2,216 state periods from 140 participants and 782 behavioural cycles, representing 1,028,958 valid minutes. Equal-site Work-day adherence was 26.5% during Wake, 61.9% during Pre-sleep and 90.3% during Sleep; Free-day adherence was 21.6%, 69.9% and 84.1%. Relative to Work days, Free-day adherence was 4.92 percentage points lower during Wake (95% CI 2.21 to 7.64 lower), 7.98 higher during Pre-sleep (3.28 to 12.67) and 6.13 lower during Sleep (3.48 to 8.79); all FDR-adjusted</w:t>
      </w:r>
      <w:r>
        <w:t xml:space="preserve"> </w:t>
      </w:r>
      <w:r>
        <w:rPr>
          <w:i/>
          <w:iCs/>
        </w:rPr>
        <w:t xml:space="preserve">p</w:t>
      </w:r>
      <w:r>
        <w:t xml:space="preserve"> </w:t>
      </w:r>
      <w:r>
        <w:t xml:space="preserve">values were &lt;0.001. Requiring at least 80% coverage preserved each direction and interval conclusion, with a maximum 0.88-point change.</w:t>
      </w:r>
    </w:p>
    <w:p>
      <w:pPr>
        <w:pStyle w:val="BodyText"/>
      </w:pPr>
      <w:r>
        <w:t xml:space="preserve">The state-by-site-by-day-type interaction met the FDR criterion (</w:t>
      </w:r>
      <w:r>
        <w:rPr>
          <w:i/>
          <w:iCs/>
        </w:rPr>
        <w:t xml:space="preserve">p</w:t>
      </w:r>
      <w:r>
        <w:t xml:space="preserve"> </w:t>
      </w:r>
      <w:r>
        <w:t xml:space="preserve">= 0.003). Free-minus-Work differences varied among sites during Wake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In a separate 27-comparison FDR family, the Wake difference exceeded its equal-site value by 15.0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at 80% coverage. Unlike tests against zero, these comparisons localise pooled-model variation; sites are not independent replications or causal location effects.</w:t>
      </w:r>
    </w:p>
    <w:p>
      <w:pPr>
        <w:pStyle w:val="BodyText"/>
      </w:pPr>
      <w:r>
        <w:t xml:space="preserve">A point-only response-scale partition assigned 58.4% to fixed predictors, a further 2.2 percentage points to the participant intercept and 39.4% to observation and distribution variation, giving conditional R² of 60.6%. Within fixed-predictor variance, Shapley weights were 94.1% for state, 4.8% for site and 1.2% for day type. These model-dependent descriptions are not causal importance.</w:t>
      </w:r>
    </w:p>
    <w:p>
      <w:pPr>
        <w:pStyle w:val="BodyText"/>
      </w:pPr>
      <w:r>
        <w:t xml:space="preserve">A separate exploratory analysis related adherence across states, while the within-participant day-level claim was withheld because temporal dependence remained unresolved. Between participants, each 10 percentage points higher observed average Wake adherence was associated with 2.52 points lower Sleep adherence (95% CI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Directions and interval conclusions remained at 80% coverage, with a maximum 0.60-point change. These observational associations estimate neither within-person change, causal effects, stable traits nor a biological trade-off.</w:t>
      </w:r>
    </w:p>
    <w:bookmarkEnd w:id="12"/>
    <w:bookmarkStart w:id="13" w:name="Xc4979e22324f11da75035ae42f7d6f3eb1d0c23"/>
    <w:p>
      <w:pPr>
        <w:pStyle w:val="Heading2"/>
      </w:pPr>
      <w:r>
        <w:t xml:space="preserve">Personal and day-to-day differences exceed site differences</w:t>
      </w:r>
    </w:p>
    <w:p>
      <w:pPr>
        <w:pStyle w:val="FirstParagraph"/>
      </w:pPr>
      <w:r>
        <w:t xml:space="preserve">A nonlinear model separated common local-clock, site and participant curves from participant-day shifts. Near-eye in-sample R² was 0.775 (95% confidence interval (95% CI) 0.739 to 0.804). Participant curves were 1.80 times as dispersed as site curves (95% CI 1.16 to 4.33); participant curves plus day shifts had a dispersion ratio of 1.99 (1.29 to 4.77). Thus, fitted variation among people and their days within sites exceeded variation among site curves after accounting for shared time.</w:t>
      </w:r>
    </w:p>
    <w:p>
      <w:pPr>
        <w:pStyle w:val="BodyText"/>
      </w:pPr>
      <w:r>
        <w:t xml:space="preserve">Conditional in-sample model-fit credit showed the same hierarchy: 78.9% for the shared local-clock curve (95% CI 73.6% to 82.6%), 12.9% for participant curves (10.1% to 16.4%), 6.2% for participant-day shifts (4.4% to 8.6%) and 2.0% for site curves (0.9% to 3.5%). Participant curves received 6.41 times the site credit (3.85 to 15.14), and participant curves plus day shifts 9.49 times (5.77 to 21.81). This allocation distributes shared fitted information, not response variance, causal importance or out-of-sample predictive importance.</w:t>
      </w:r>
    </w:p>
    <w:p>
      <w:pPr>
        <w:pStyle w:val="BodyText"/>
      </w:pPr>
      <w:r>
        <w:t xml:space="preserve">The shared rhythm did not imply uniform amplitude across sites. Relative to the equal-site daily pattern on the fitted melanopic EDI + 0.1 lx scale, Borås (SE) was 2.04 to 4.64 times higher from 06:00 to 11:00 and 1.80 to 2.73 times higher from 15:00 to 19:00. Madrid (ES) was 0.15 to 0.47 times the shared pattern from 05:30 to 10:30 and 0.40 to 0.57 from 17:30 to 20:30. Izmir (TR) shifted from a lower morning ratio of 0.51 to 0.59 at 06:00 to 08:30 to a higher late-evening ratio of 1.98 to 4.28 at 21:00 to 24:00, while Kumasi (GH) was 0.11 to 0.38 from 11:30 to 23:00. These ranges describe fitted clock-specific departures within each window.</w:t>
      </w:r>
    </w:p>
    <w:p>
      <w:pPr>
        <w:pStyle w:val="BodyText"/>
      </w:pPr>
      <w:r>
        <w:t xml:space="preserve">The separate chest model had in-sample R² of 0.737 and retained the combined participant-plus-day ordering: common time received 79.1% of model-fit credit, participant curves 11.9%, day shifts 7.0% and site curves 2.1%. Common-sample comparisons supported this combined ordering, but the participant-only contrast was less stable. Cross-position similarity is complementary context, not replication, equivalence or interchangeability.</w:t>
      </w:r>
    </w:p>
    <w:bookmarkEnd w:id="13"/>
    <w:bookmarkStart w:id="14" w:name="Xe9c4607d6ee60b9517912aae3ef8625ca9982ec"/>
    <w:p>
      <w:pPr>
        <w:pStyle w:val="Heading2"/>
      </w:pPr>
      <w:r>
        <w:t xml:space="preserve">Geography and photoperiod provide partial context</w:t>
      </w:r>
    </w:p>
    <w:p>
      <w:pPr>
        <w:pStyle w:val="FirstParagraph"/>
      </w:pPr>
      <w:r>
        <w:t xml:space="preserve">Geographic associations concentrated in some exposure streams and spared others. Overall site differences met the false-discovery-rate (FDR) criterion for 8 of 17 primary near-eye metrics: all three level metrics, waking time above 250 lx, the brightest- and darkest-10-hour midpoints, and the mean and last timing above 250 lx. Site differences were not FDR-retained for dose, spectral composition, stability, fragmentation, sustained bright exposure, the other threshold-duration metrics or first timing above 250 lx. Conditional R² averaged 36.4% across the metric models, and participant-associated R² averaged 25.6% among participant-day metrics. Among the eight metrics with site support, site-associated part R² averaged 9.0%. These component R² values are non-additive and are not a partition of response variance, but they reinforce the stronger individual-level contribution seen in the daily-pattern analysis.</w:t>
      </w:r>
    </w:p>
    <w:p>
      <w:pPr>
        <w:pStyle w:val="BodyText"/>
      </w:pPr>
      <w:r>
        <w:t xml:space="preserve">The pooled association with each additional hour of civil photoperiod was broad but metric-specific. The fitted daily geometric mean was 1.18 times higher (95% CI 1.11 to 1.26), the brightest-10-hour mean 1.24 times higher (1.13 to 1.36), waking time above 250 lx 1.14 times higher (1.07 to 1.20) and daily dose 1.28 times higher (1.17 to 1.39). Each additional photoperiod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w:t>
      </w:r>
    </w:p>
    <w:p>
      <w:pPr>
        <w:pStyle w:val="BodyText"/>
      </w:pPr>
      <w:r>
        <w:t xml:space="preserve">Across the recorded 10.33 to 20.52 h of civil photoperiod, six of nine metrics, daily mean, both 10-hour window means, time above 1,000 lx, waking time above 250 lx and dose, changed from increasing to a sustained near-flat tail between 14.24 and 16.20 h. Pre-sleep time below 10 lx, sleep-environment time below 1 lx and the longest period above 250 lx did not. This descriptive transition means the fitted slope became compatible with zero and remained so through the observed maximum; no physiological or environmental ceiling was identified. Some classifications were sensitive to site, sample or model form. Latitude was confounded with site, collection periods and photoperiod overlap differed, and weather, built environment, culture and routine could not be separated.</w:t>
      </w:r>
    </w:p>
    <w:bookmarkEnd w:id="14"/>
    <w:bookmarkStart w:id="15" w:name="X7f67a68c389dc6ee66f866e334c6e5412416cfa"/>
    <w:p>
      <w:pPr>
        <w:pStyle w:val="Heading2"/>
      </w:pPr>
      <w:r>
        <w:t xml:space="preserve">Immediate environments and routines reorganise exposure</w:t>
      </w:r>
    </w:p>
    <w:p>
      <w:pPr>
        <w:pStyle w:val="FirstParagraph"/>
      </w:pPr>
      <w:r>
        <w:t xml:space="preserve">Self-reported light source was strongly associated with one-hour near-eye exposure, and the light-source-by-site interaction met the FDR criterion. In the interaction model, site-average estimates, which give each site equal weight, were 959.6 lx melanopic EDI for outdoor daylight (95% CI 786.8 to 1,170.2), 198.8 lx for indoor daylight (169.3 to 233.4), 85.1 lx for indoor electric light (71.6 to 101.1) and 23.8 lx for a display (17.4 to 32.5). Outdoor daylight was 11.27 times the indoor-electric estimate (8.71 to 14.60). The outdoor-daylight estimate was above the 250-lx daytime recommendation, whereas the indoor-daylight and indoor-electric intervals were below it. During reported sleep, estimates for self-reported darkness and external light were 2.24 lx (1.54 to 3.26) and 11.18 lx (8.06 to 15.51), both above the 1-lx sleep-environment upper limit. These contextual comparisons do not classify people or hours as adherent.</w:t>
      </w:r>
    </w:p>
    <w:p>
      <w:pPr>
        <w:pStyle w:val="BodyText"/>
      </w:pPr>
      <w:r>
        <w:t xml:space="preserve">The interaction was not a minor correction to the category ordering. Munich (DE), for example, had an external-sleep-light estimate of 130.2 lx, 11.65 times the corresponding site-average estimate, whereas the sleep-darkness estimate in Kumasi (GH) was 0.371 lx, 0.166 times its site average. The fitted model described 52.2% of the in-sample quasi-deviance; in a descriptive decomposition of that model fit, light-source category received 86.3%, site 8.7% and the category-by-site interaction 5.0%. The percentages allocate fitted information and are neither causal contributions nor response-variance shares. Sparse site-category cells limited some estimates.</w:t>
      </w:r>
    </w:p>
    <w:p>
      <w:pPr>
        <w:pStyle w:val="BodyText"/>
      </w:pPr>
      <w:r>
        <w:t xml:space="preserve">An exploratory near-eye model added a common participant intercept to site-by-light-source fixed terms. Marginal and conditional R² were 0.796 and 0.876, so the intercept added 0.080 on the model-based variance scale. Within marginal R², point allocations were 89.3% to light source, 7.1% to site and 3.7% to their interaction. These are neither causal shares nor participant-specific responses. Lag-one residual correlation was 0.288, and fitted versus observed exact zeros were 39.8% versus 27.8%. A population-mean within/between sensitivity retained the category conclusion, although the external-sleep-light ratio was attenuated to 0.333 near eye (95% CI 0.190 to 0.585) and 0.244 at the chest (0.116 to 0.514); outdoor electric light remained imprecise near eye (ratio 1.019, 0.336 to 3.090; FDR-adjusted</w:t>
      </w:r>
      <w:r>
        <w:t xml:space="preserve"> </w:t>
      </w:r>
      <w:r>
        <w:rPr>
          <w:i/>
          <w:iCs/>
        </w:rPr>
        <w:t xml:space="preserve">p</w:t>
      </w:r>
      <w:r>
        <w:t xml:space="preserve"> </w:t>
      </w:r>
      <w:r>
        <w:t xml:space="preserve">= 0.973).</w:t>
      </w:r>
    </w:p>
    <w:p>
      <w:pPr>
        <w:pStyle w:val="BodyText"/>
      </w:pPr>
      <w:r>
        <w:t xml:space="preserve">Activity showed a similarly ordered pattern, and the activity-by-site interaction met the FDR criterion. Site-average near-eye estimates were 714.2 lx outdoors (95% CI 561.7 to 908.2), 331.2 lx on the road or in a vehicle (274.4 to 399.8), 198.9 lx during office or home work (173.9 to 227.5), 76.4 lx while awake at home (62.0 to 94.1) and 4.28 lx during sleep (3.06 to 5.99).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An exploratory mixed model of the five named activities gave model-based marginal and conditional R² of 0.766 and 0.858 near eye, and 0.768 and 0.859 at the chest; the participant intercept added 0.092 at both positions. Of marginal R², activity received 80.7% near eye and 86.1% at the chest, site 12.5% and 5.9%, and their interaction 6.9% and 8.0%, respectively. This model-based point decomposition is neither a partition of raw response variance nor a measure of causal importance; no participant-specific activity slopes were fitted, and residual correlation and zero-mass mismatch remained.</w:t>
      </w:r>
    </w:p>
    <w:p>
      <w:pPr>
        <w:pStyle w:val="BodyText"/>
      </w:pPr>
      <w:r>
        <w:t xml:space="preserve">The main hourly analysis gave each supported participant-hour one observation. At the equal-site reference of a Work, Sedentary day following 7.8 h of sleep, expected near-eye exposure was 89 lx melanopic EDI (95% CI 67 to 119). Active versus Sedentary daily activity status was associated with 2.06 times the expected exposure (1.54 to 2.76; FDR-adjusted</w:t>
      </w:r>
      <w:r>
        <w:t xml:space="preserve"> </w:t>
      </w:r>
      <w:r>
        <w:rPr>
          <w:i/>
          <w:iCs/>
        </w:rPr>
        <w:t xml:space="preserve">p</w:t>
      </w:r>
      <w:r>
        <w:t xml:space="preserve"> </w:t>
      </w:r>
      <w:r>
        <w:t xml:space="preserve">&lt; 0.001). In a model constraining the Free-versus-Work association to be common across sites, expected exposure was 1.45 times higher on Free days (1.14 to 1.85; FDR-adjusted</w:t>
      </w:r>
      <w:r>
        <w:t xml:space="preserve"> </w:t>
      </w:r>
      <w:r>
        <w:rPr>
          <w:i/>
          <w:iCs/>
        </w:rPr>
        <w:t xml:space="preserve">p</w:t>
      </w:r>
      <w:r>
        <w:t xml:space="preserve"> </w:t>
      </w:r>
      <w:r>
        <w:t xml:space="preserve">= 0.004). When that association was allowed to differ by study site, the equal-site average was inconclusive (ratio 1.15, 0.93 to 1.44; FDR-adjusted</w:t>
      </w:r>
      <w:r>
        <w:t xml:space="preserve"> </w:t>
      </w:r>
      <w:r>
        <w:rPr>
          <w:i/>
          <w:iCs/>
        </w:rPr>
        <w:t xml:space="preserve">p</w:t>
      </w:r>
      <w:r>
        <w:t xml:space="preserve"> </w:t>
      </w:r>
      <w:r>
        <w:t xml:space="preserve">= 0.298), while the day-type-by-site interaction met the FDR-adjusted criterion (</w:t>
      </w:r>
      <w:r>
        <w:rPr>
          <w:i/>
          <w:iCs/>
        </w:rPr>
        <w:t xml:space="preserve">p</w:t>
      </w:r>
      <w:r>
        <w:t xml:space="preserve"> </w:t>
      </w:r>
      <w:r>
        <w:t xml:space="preserve">= 0.017). Exploratory site-specific ratios were FDR-retained in Borås (SE; 1.95, 1.26 to 3.01) and Dortmund (DE; 2.44, 1.42 to 4.22), with FDR-adjusted</w:t>
      </w:r>
      <w:r>
        <w:t xml:space="preserve"> </w:t>
      </w:r>
      <w:r>
        <w:rPr>
          <w:i/>
          <w:iCs/>
        </w:rPr>
        <w:t xml:space="preserve">p</w:t>
      </w:r>
      <w:r>
        <w:t xml:space="preserve"> </w:t>
      </w:r>
      <w:r>
        <w:t xml:space="preserve">= 0.013 for each within the nine-site family. The Free-versus-Work result was also inconclusive under the alternative working variance and was sensitive to omission of either of these sites. Each additional hour of previous-night sleep duration, centred at 8 h, had a ratio of 0.98 (0.85 to 1.12; FDR-adjusted</w:t>
      </w:r>
      <w:r>
        <w:t xml:space="preserve"> </w:t>
      </w:r>
      <w:r>
        <w:rPr>
          <w:i/>
          <w:iCs/>
        </w:rPr>
        <w:t xml:space="preserve">p</w:t>
      </w:r>
      <w:r>
        <w:t xml:space="preserve"> </w:t>
      </w:r>
      <w:r>
        <w:t xml:space="preserve">= 0.745), an inconclusive hourly association.</w:t>
      </w:r>
    </w:p>
    <w:p>
      <w:pPr>
        <w:pStyle w:val="BodyText"/>
      </w:pPr>
      <w:r>
        <w:t xml:space="preserve">The complementary participant-day analysis weighted each admissible day equally and modelled daily metrics. Daily mean exposure had a site-average Free-to-Work ratio of 0.70 (95% CI 0.63 to 0.78), with lower Free-day estimates at all nine sites. This differs from the main hourly association because supported hours determine hourly weighting, while each admissible day contributes once to the daily analysis. The results address different outcomes and temporal composition; neither substitutes for the other.</w:t>
      </w:r>
    </w:p>
    <w:bookmarkEnd w:id="15"/>
    <w:bookmarkStart w:id="16" w:name="person-level-correlates-are-selective"/>
    <w:p>
      <w:pPr>
        <w:pStyle w:val="Heading2"/>
      </w:pPr>
      <w:r>
        <w:t xml:space="preserve">Person-level correlates are selective</w:t>
      </w:r>
    </w:p>
    <w:p>
      <w:pPr>
        <w:pStyle w:val="FirstParagraph"/>
      </w:pPr>
      <w:r>
        <w:t xml:space="preserve">Two broad self-report analyses did not support general exposure profiling. None of 68 prespecified near-eye associations between four light-related behaviour and attitude factors and 17 metrics retained false-discovery-rate support. Four sleep-environment cells remained in that family but were unfit for inference and their estimates were suppressed. Similarly, neither the average associations nor site interactions across nine visual-light-sensitivity outcomes retained adjusted support at either position. These findings are inconclusive across the tested families and do not establish that all underlying associations are zero.</w:t>
      </w:r>
    </w:p>
    <w:p>
      <w:pPr>
        <w:pStyle w:val="BodyText"/>
      </w:pPr>
      <w:r>
        <w:t xml:space="preserve">Chronotype showed a more specific timing pattern. Each hour later in corrected midsleep on free days was associated with first exposure above 250 lx occurring 0.381 h later (95% CI 0.146 to 0.616; adjusted</w:t>
      </w:r>
      <w:r>
        <w:t xml:space="preserve"> </w:t>
      </w:r>
      <w:r>
        <w:rPr>
          <w:i/>
          <w:iCs/>
        </w:rPr>
        <w:t xml:space="preserve">p</w:t>
      </w:r>
      <w:r>
        <w:t xml:space="preserve"> </w:t>
      </w:r>
      <w:r>
        <w:t xml:space="preserve">= 0.003). Separately, each 10-point shift towards greater morning preference was associated with first exposure above 250 lx occurring 0.444 h earlier (0.189 to 0.699 h earlier; adjusted</w:t>
      </w:r>
      <w:r>
        <w:t xml:space="preserve"> </w:t>
      </w:r>
      <w:r>
        <w:rPr>
          <w:i/>
          <w:iCs/>
        </w:rPr>
        <w:t xml:space="preserve">p</w:t>
      </w:r>
      <w:r>
        <w:t xml:space="preserve"> </w:t>
      </w:r>
      <w:r>
        <w:t xml:space="preserve">= 0.001). The brightest- and darkest-10-hour midpoints showed the same directional pattern, whereas last exposure and the midpoint of the longest bright period did not retain support. The two questionnaires capture related but distinct chronotype constructs and were not combined.</w:t>
      </w:r>
    </w:p>
    <w:p>
      <w:pPr>
        <w:pStyle w:val="BodyText"/>
      </w:pPr>
      <w:r>
        <w:t xml:space="preserve">Age and measured biological sex produced selective results. Each additional decade of age was associated with higher near-eye brightest-10-hour mean, time above 1,000 lx and daily dose, with ratios from 1.27 to 1.31. These cross-sectional associations may reflect cohort, occupation, behaviour or other confounding, not ageing itself. No primary near-eye metric association with measured biological sex and no primary near-eye age-by-site or sex-by-site interaction met the FDR criterion. In a separate analysis of the complete daily curve, the all-available near-eye and chest profiles differed by measured biological sex (adjusted</w:t>
      </w:r>
      <w:r>
        <w:t xml:space="preserve"> </w:t>
      </w:r>
      <w:r>
        <w:rPr>
          <w:i/>
          <w:iCs/>
        </w:rPr>
        <w:t xml:space="preserve">p</w:t>
      </w:r>
      <w:r>
        <w:t xml:space="preserve"> </w:t>
      </w:r>
      <w:r>
        <w:t xml:space="preserve">= 0.028 and 0.029). After restriction to records with activity data, the near-eye difference was already unsupported before activity adjustment (</w:t>
      </w:r>
      <w:r>
        <w:rPr>
          <w:i/>
          <w:iCs/>
        </w:rPr>
        <w:t xml:space="preserve">p</w:t>
      </w:r>
      <w:r>
        <w:t xml:space="preserve"> </w:t>
      </w:r>
      <w:r>
        <w:t xml:space="preserve">= 0.160) and remained so after adjustment (</w:t>
      </w:r>
      <w:r>
        <w:rPr>
          <w:i/>
          <w:iCs/>
        </w:rPr>
        <w:t xml:space="preserve">p</w:t>
      </w:r>
      <w:r>
        <w:t xml:space="preserve"> </w:t>
      </w:r>
      <w:r>
        <w:t xml:space="preserve">= 0.364); at the chest, the same-sample global</w:t>
      </w:r>
      <w:r>
        <w:t xml:space="preserve"> </w:t>
      </w:r>
      <w:r>
        <w:rPr>
          <w:i/>
          <w:iCs/>
        </w:rPr>
        <w:t xml:space="preserve">p</w:t>
      </w:r>
      <w:r>
        <w:t xml:space="preserve"> </w:t>
      </w:r>
      <w:r>
        <w:t xml:space="preserve">value shifted from 0.025 to 0.050. The apparent separation therefore did not survive the activity-complete analyses. Attenuation is compatible with activity-related patterning, but the near-eye sample restriction and covariate adjustment cannot be separated as a mechanism. Gender was recorded separately but was not analysed.</w:t>
      </w:r>
    </w:p>
    <w:bookmarkEnd w:id="16"/>
    <w:bookmarkStart w:id="17" w:name="Xc4f4bf7da76821495de411b4b69d0446ac373b1"/>
    <w:p>
      <w:pPr>
        <w:pStyle w:val="Heading2"/>
      </w:pPr>
      <w:r>
        <w:t xml:space="preserve">Measurement position and robustness bound interpretation</w:t>
      </w:r>
    </w:p>
    <w:p>
      <w:pPr>
        <w:pStyle w:val="FirstParagraph"/>
      </w:pPr>
      <w:r>
        <w:t xml:space="preserve">Placement evidence had two implications. The paired 112 participants and 643 participant-days related near-eye and chest measurements under common observation but separate models. The full chest dataset of 154 participants and 902 participant-days also broadened coverage beyond the 141 participants and 816 days near eye. At several sites, especially San José (CR), offering a chest sensor enabled recruitment of people reluctant to wear the light glasses. This improved recruitment feasibility, not the ocular-exposure sample.</w:t>
      </w:r>
    </w:p>
    <w:p>
      <w:pPr>
        <w:pStyle w:val="BodyText"/>
      </w:pPr>
      <w:r>
        <w:t xml:space="preserve">The parallel public preprint, based on overlapping MeLiDos data, reports position differences across scale, metric, context, site, day and participant</w:t>
      </w:r>
      <w:hyperlink w:anchor="ref-zauner2026placementpreprint">
        <w:r>
          <w:rPr>
            <w:rStyle w:val="Hyperlink"/>
            <w:vertAlign w:val="superscript"/>
          </w:rPr>
          <w:t xml:space="preserve">34</w:t>
        </w:r>
      </w:hyperlink>
      <w:r>
        <w:t xml:space="preserve">. Our separate and common-sample analyses likewise show that near-eye and chest estimates may agree in direction but differ in magnitude or support. Chest adherence retained the main Wake and Pre-sleep directions and interval conclusions, but provides no sleep ocular claim. We neither pooled positions nor inferred equivalence or a universal correction. The preprint is related work, not independent replication.</w:t>
      </w:r>
    </w:p>
    <w:p>
      <w:pPr>
        <w:pStyle w:val="BodyText"/>
      </w:pPr>
      <w:r>
        <w:t xml:space="preserve">Some planned quantities were non-estimable: four sleep-environment cells at each position in the light-behaviour analysis, the gap-timing-unaware longest-period comparison because its target was incompatible with the metric representation, and darkest-10-hour slots in the complementary daily analysis. We retained these absences rather than replacing them with zero or null findings. Outcome-specific qualifications for zeros, residuals, dependence, nonlinear-term overlap, sparse support and influence remain with the affected analyses and in Methods.</w:t>
      </w:r>
    </w:p>
    <w:bookmarkEnd w:id="17"/>
    <w:bookmarkEnd w:id="18"/>
    <w:bookmarkStart w:id="19" w:name="discussion"/>
    <w:p>
      <w:pPr>
        <w:pStyle w:val="Heading1"/>
      </w:pPr>
      <w:r>
        <w:t xml:space="preserve">Discussion</w:t>
      </w:r>
    </w:p>
    <w:p>
      <w:pPr>
        <w:pStyle w:val="FirstParagraph"/>
      </w:pPr>
      <w:r>
        <w:t xml:space="preserve">Across nine sites in seven countries, ocular light exposure followed the expected 24-hour rhythm, but its cross-site stability, amplitude and layered sources were unknown. The shared local-clock curve dominated fitted information, while participant curves and day shifts contributed substantially more than site curves. Geography and photoperiod selectively organised level, bright-duration and timing metrics; immediate contexts produced larger contrasts; and person-level correlates were specific rather than general. The contribution is not the rhythm itself, but a multiscale account of where it lies and how everyday life reorganises it.</w:t>
      </w:r>
    </w:p>
    <w:p>
      <w:pPr>
        <w:pStyle w:val="BodyText"/>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Wake and Sleep but higher during Pre-sleep, with site variation during Wake and Sleep. Outdoor activity exceeded the daytime recommendation, office or home work remained below it, and the fitted Sleep context exceeded the bedside limit. These pooled fractions, state-period proportions and hourly means are distinct estimands. They locate opportunities and shortfalls without assigning health risk, and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BodyText"/>
      </w:pPr>
      <w:r>
        <w:t xml:space="preserve">This baseline connects mechanistic recommendations with a growing population literature. Large wrist-sensor cohorts have associated day and night light patterns with psychiatric disorders, incident type 2 diabetes, cardiovascular disease and mortality, and have related light timing to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consistency of these observational associations across outcomes strengthens the public-health rationale for measuring personal light, but does not make the present exposure categories clinical risk markers. Those cohorts largely used wrist or bedside illuminance and did not resolve melanopic exposure at the eye, immediate light source or the nested multiscale architecture measured here.</w:t>
      </w:r>
    </w:p>
    <w:p>
      <w:pPr>
        <w:pStyle w:val="BodyText"/>
      </w:pPr>
      <w:r>
        <w:t xml:space="preserve">Exploratory inverse associations of average Wake with Sleep and Pre-sleep adherence show why the contexts should not become one score. They may reflect schedules, environments or other between-participant differences, not a within-person trade-off or stable phenotype. The day-level claim was withheld because temporal dependence remained unresolved. Longitudinal models of dependence and changing routines are needed to test whether improving one part of the pattern displaces or supports another.</w:t>
      </w:r>
    </w:p>
    <w:p>
      <w:pPr>
        <w:pStyle w:val="BodyText"/>
      </w:pPr>
      <w:r>
        <w:t xml:space="preserve">Place mattered, but not as one north-to-south ranking. Site differences concentrated in daily level, waking bright-light duration and several timing metrics, while dose, spectrum and regularity did not show the same site pattern. Civil photoperiod reached a broader set of metrics, with larger day-length associations for bright-light level and dose than for the darkest daily window. At approximately 14.2 to 16.2 h of civil photoperiod, six metrics changed from increasing to a sustained near-flat tail, whereas pre-sleep darkness, sleep-environment darkness and the longest bright period did not. No physiological or environmental ceiling was identified.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BodyText"/>
      </w:pPr>
      <w:r>
        <w:t xml:space="preserve">Large immediate-context contrasts are consistent with exposure emerging from environmental opportunity, built settings and behaviour</w:t>
      </w:r>
      <w:hyperlink w:anchor="ref-biller2024">
        <w:r>
          <w:rPr>
            <w:rStyle w:val="Hyperlink"/>
            <w:vertAlign w:val="superscript"/>
          </w:rPr>
          <w:t xml:space="preserve">23</w:t>
        </w:r>
      </w:hyperlink>
      <w:r>
        <w:t xml:space="preserve">. Outdoor daylight and activity greatly exceeded indoor electric light or awake time at home, and Active days exceeded Sedentary days. Light-source and activity interactions showed site dependence: outdoor-activity exposure was higher in Borås (SE) than Tübingen (DE), while the Free-versus-Work association was most evident in Borås (SE) and Dortmund (DE). Exploratory participant intercepts captured remaining between-participant variation, not individual context responses or predictions; residual dependence and zero-mass mismatch remained. Surveillance should therefore preserve local clock time, location, activity, daylight access and site. All associations remain vulnerable to self-selection, occupation, mobility and weather.</w:t>
      </w:r>
    </w:p>
    <w:p>
      <w:pPr>
        <w:pStyle w:val="BodyText"/>
      </w:pPr>
      <w:r>
        <w:t xml:space="preserve">The person-level evidence argues against simple exposure profiling. Broad light-behaviour and visual-sensitivity scales did not meet the FDR criterion, while chronotype aligned with selected timing outcomes and age with selected bright-light and dose metrics. The chronotype pattern is consistent with prior evidence linking circadian preference or timing to daylight exposure, sleep and daily routine, but it does not identify direction of causation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Although the all-available complete curve differed by biological sex, that separation was not retained in the activity-complete analyses, so activity cannot be assigned as its mechanism. Gender was available as a separate recorded variable but was not analysed. When person-level patterns are present, they may therefore concern specific exposure dimensions rather than a general high-versus-low phenotype.</w:t>
      </w:r>
    </w:p>
    <w:p>
      <w:pPr>
        <w:pStyle w:val="BodyText"/>
      </w:pPr>
      <w:r>
        <w:t xml:space="preserve">Measurement position changes scientific meaning and feasibility. Near-eye sensing more closely approximates the incident ocular field during wake but is not retinal measurement; chest sensing samples a related environmental field. Measurement and simulation studies show structured differences from body position, morphology, posture and surrounding light</w:t>
      </w:r>
      <w:hyperlink w:anchor="ref-devries2025">
        <w:r>
          <w:rPr>
            <w:rStyle w:val="Hyperlink"/>
            <w:vertAlign w:val="superscript"/>
          </w:rPr>
          <w:t xml:space="preserve">30</w:t>
        </w:r>
      </w:hyperlink>
      <w:r>
        <w:rPr>
          <w:vertAlign w:val="superscript"/>
        </w:rPr>
        <w:t xml:space="preserve">–</w:t>
      </w:r>
      <w:hyperlink w:anchor="ref-devries2026a">
        <w:r>
          <w:rPr>
            <w:rStyle w:val="Hyperlink"/>
            <w:vertAlign w:val="superscript"/>
          </w:rPr>
          <w:t xml:space="preserve">32</w:t>
        </w:r>
      </w:hyperlink>
      <w:r>
        <w:t xml:space="preserve">. The matched sample and parallel placement study show MeLiDos differences across metrics and contexts without a universal correction</w:t>
      </w:r>
      <w:hyperlink w:anchor="ref-zauner2026placementpreprint">
        <w:r>
          <w:rPr>
            <w:rStyle w:val="Hyperlink"/>
            <w:vertAlign w:val="superscript"/>
          </w:rPr>
          <w:t xml:space="preserve">34</w:t>
        </w:r>
      </w:hyperlink>
      <w:r>
        <w:t xml:space="preserve">. Yet the chest option broadened recruitment among people unwilling to wear glasses-mounted sensors, especially in San José (CR). Study design must balance biological proximity, burden and recruitment while keeping estimands position-specific.</w:t>
      </w:r>
    </w:p>
    <w:p>
      <w:pPr>
        <w:pStyle w:val="BodyText"/>
      </w:pPr>
      <w:r>
        <w:t xml:space="preserve">The harmonised protocol combined repeated near-eye sensing with local-clock and contextual information across nine sites and seven countries. Generalised additive analysis separated a shared 24-hour curve from site, participant and participant-day layers that daily summaries would obscure. This volume of near-eye data demanded substantial effort from participants and teams: glasses-mounted loggers required fitting, explanation, daily handling and protection from removal, occlusion, charging, discomfort, weather and social acceptability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The strength is biologically closer sensing with high temporal and contextual resolution despite this burden.</w:t>
      </w:r>
    </w:p>
    <w:p>
      <w:pPr>
        <w:pStyle w:val="BodyText"/>
      </w:pPr>
      <w:r>
        <w:t xml:space="preserve">The limitations are equally important. This observational, non-representative sample has uneven site and placement coverage, and no health outcome was measured. Registered age and employment restrictions were not applied uniformly. Biological sex was analysed, but the separately recorded gender variable was not, and the observed categories do not support broader sex or gender generalisation. Site was linked to collection period, and weather, occupation, housing, mobility, social context and built-environment characteristics were incomplete. Diary categories were broad and self-reported. Some estimates were sensitive to model form or site omission, and working distributions represented zeros, tails or residual dependence imperfectly. These limitations constrain causal, prevalence and policy claims even where fitted associations are precise.</w:t>
      </w:r>
    </w:p>
    <w:p>
      <w:pPr>
        <w:pStyle w:val="BodyText"/>
      </w:pPr>
      <w:r>
        <w:t xml:space="preserve">The study provides a practical nine-site reference for ocular-light measurement. It locates everyday exposure relative to physiology-based recommendations, shows that variation among people and days within sites cannot be ignored, and identifies the temporal, contextual and positional information that future cohorts should preserve. Linking this architecture prospectively to sleep, mental, metabolic, cardiovascular and other outcomes is the next step. Demonstrating causal health benefits or policy effects will require interventions and representative longitudinal designs.</w:t>
      </w:r>
    </w:p>
    <w:bookmarkEnd w:id="19"/>
    <w:bookmarkStart w:id="34" w:name="methods"/>
    <w:p>
      <w:pPr>
        <w:pStyle w:val="Heading1"/>
      </w:pPr>
      <w:r>
        <w:t xml:space="preserve">Methods</w:t>
      </w:r>
    </w:p>
    <w:bookmarkStart w:id="20" w:name="study-design-and-sites"/>
    <w:p>
      <w:pPr>
        <w:pStyle w:val="Heading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36</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44</w:t>
        </w:r>
      </w:hyperlink>
      <w:r>
        <w:t xml:space="preserve">.</w:t>
      </w:r>
    </w:p>
    <w:bookmarkEnd w:id="20"/>
    <w:bookmarkStart w:id="21" w:name="participants-recruitment-and-ethics"/>
    <w:p>
      <w:pPr>
        <w:pStyle w:val="Heading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These restrictions were not applied uniformly at all sites; the retained deviations and available exclusion sensitivities are reported explicitly in the study records. The target was at least 15 participants per site, based on prior power calculations and allowing for up to one-third dropout or incomplete recording</w:t>
      </w:r>
      <w:hyperlink w:anchor="ref-zauner2024">
        <w:r>
          <w:rPr>
            <w:rStyle w:val="Hyperlink"/>
            <w:vertAlign w:val="superscript"/>
          </w:rPr>
          <w:t xml:space="preserve">45</w:t>
        </w:r>
      </w:hyperlink>
      <w:r>
        <w:t xml:space="preserve">. Participants were recruited through local advertisements and institutional mailing lists. At some sites, especially San José (CR), reluctance to wear the near-eye light glasses limited recruitment, and the chest option broadened recruitment possibilities.</w:t>
      </w:r>
    </w:p>
    <w:p>
      <w:pPr>
        <w:pStyle w:val="BodyText"/>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with no reference number stated),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36</w:t>
        </w:r>
      </w:hyperlink>
      <w:r>
        <w:t xml:space="preserve">.</w:t>
      </w:r>
    </w:p>
    <w:bookmarkEnd w:id="21"/>
    <w:bookmarkStart w:id="22" w:name="personal-light-measurements"/>
    <w:p>
      <w:pPr>
        <w:pStyle w:val="Heading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46</w:t>
        </w:r>
      </w:hyperlink>
      <w:r>
        <w:t xml:space="preserve">. Participants wore the primary device centrally on non-prescription spectacle frames near the eye and, where available, a complementary pendant-mounted device at the chest. The near-eye position measures light closer to the eye but is not a direct retinal measurement; the chest position was analysed separately as non-ocular environmental exposure.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47</w:t>
        </w:r>
      </w:hyperlink>
      <w:r>
        <w:t xml:space="preserve">.</w:t>
      </w:r>
    </w:p>
    <w:p>
      <w:pPr>
        <w:pStyle w:val="BodyText"/>
      </w:pPr>
      <w:r>
        <w:t xml:space="preserve">The public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34</w:t>
        </w:r>
      </w:hyperlink>
      <w:r>
        <w:t xml:space="preserve">. No accepted analysis pooled sensor positions or estimated a universal conversion. Common-sample analyses retained the same participants, days or hours at both positions and fitted each position separately.</w:t>
      </w:r>
    </w:p>
    <w:bookmarkEnd w:id="22"/>
    <w:bookmarkStart w:id="23" w:name="contextual-and-person-level-measures"/>
    <w:p>
      <w:pPr>
        <w:pStyle w:val="Heading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48</w:t>
        </w:r>
      </w:hyperlink>
      <w:r>
        <w:t xml:space="preserve">, evening reports and paper diaries recording light source and activity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49</w:t>
        </w:r>
      </w:hyperlink>
      <w:r>
        <w:rPr>
          <w:vertAlign w:val="superscript"/>
        </w:rPr>
        <w:t xml:space="preserve">–</w:t>
      </w:r>
      <w:hyperlink w:anchor="ref-sischka2020">
        <w:r>
          <w:rPr>
            <w:rStyle w:val="Hyperlink"/>
            <w:vertAlign w:val="superscript"/>
          </w:rPr>
          <w:t xml:space="preserve">51</w:t>
        </w:r>
      </w:hyperlink>
      <w:r>
        <w:t xml:space="preserve">. Smartphone measures and baseline or end-of-study questionnaires used MyCap integrated with REDCap</w:t>
      </w:r>
      <w:hyperlink w:anchor="ref-harris2022">
        <w:r>
          <w:rPr>
            <w:rStyle w:val="Hyperlink"/>
            <w:vertAlign w:val="superscript"/>
          </w:rPr>
          <w:t xml:space="preserve">52</w:t>
        </w:r>
      </w:hyperlink>
      <w:r>
        <w:rPr>
          <w:vertAlign w:val="superscript"/>
        </w:rPr>
        <w:t xml:space="preserve">,</w:t>
      </w:r>
      <w:hyperlink w:anchor="ref-patridge2018">
        <w:r>
          <w:rPr>
            <w:rStyle w:val="Hyperlink"/>
            <w:vertAlign w:val="superscript"/>
          </w:rPr>
          <w:t xml:space="preserve">53</w:t>
        </w:r>
      </w:hyperlink>
      <w:r>
        <w:t xml:space="preserve">. Participants photographed and uploaded the paper hourly diaries each day.</w:t>
      </w:r>
    </w:p>
    <w:p>
      <w:pPr>
        <w:pStyle w:val="BodyText"/>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54</w:t>
        </w:r>
      </w:hyperlink>
      <w:r>
        <w:t xml:space="preserve">. The primary light-source analysis used one retained category per participant-hour. Activity categories distinguished sleep, awake time at home, motorised travel, active travel, office or home work, outdoor work, outdoor leisure and other activities. For analysis, outdoor travel, outdoor work and outdoor leisure were combined as Outdoors. Reports could contain concurrent activities;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BodyText"/>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55</w:t>
        </w:r>
      </w:hyperlink>
      <w:r>
        <w:rPr>
          <w:vertAlign w:val="superscript"/>
        </w:rPr>
        <w:t xml:space="preserve">,</w:t>
      </w:r>
      <w:hyperlink w:anchor="ref-horne1976">
        <w:r>
          <w:rPr>
            <w:rStyle w:val="Hyperlink"/>
            <w:vertAlign w:val="superscript"/>
          </w:rPr>
          <w:t xml:space="preserve">56</w:t>
        </w:r>
      </w:hyperlink>
      <w:r>
        <w:t xml:space="preserve">. Visual sensitivity used the VLSQ-8</w:t>
      </w:r>
      <w:hyperlink w:anchor="ref-verriotto2017">
        <w:r>
          <w:rPr>
            <w:rStyle w:val="Hyperlink"/>
            <w:vertAlign w:val="superscript"/>
          </w:rPr>
          <w:t xml:space="preserve">57</w:t>
        </w:r>
      </w:hyperlink>
      <w:r>
        <w:t xml:space="preserve">, sleep environment used the Assessment of Sleep Environment</w:t>
      </w:r>
      <w:hyperlink w:anchor="ref-grandner2022">
        <w:r>
          <w:rPr>
            <w:rStyle w:val="Hyperlink"/>
            <w:vertAlign w:val="superscript"/>
          </w:rPr>
          <w:t xml:space="preserve">58</w:t>
        </w:r>
      </w:hyperlink>
      <w:r>
        <w:t xml:space="preserve">, and four Light Exposure Behaviour Assessment factors represented outdoor time, device use in bed, ambient light before bed and morning or daytime light use</w:t>
      </w:r>
      <w:hyperlink w:anchor="ref-siraji2023">
        <w:r>
          <w:rPr>
            <w:rStyle w:val="Hyperlink"/>
            <w:vertAlign w:val="superscript"/>
          </w:rPr>
          <w:t xml:space="preserve">59</w:t>
        </w:r>
      </w:hyperlink>
      <w:r>
        <w:t xml:space="preserve">. Biological sex and gender were recorded as separate variables. The accepted models analysed biological sex, coded Female or Male, but did not analyse gender.</w:t>
      </w:r>
    </w:p>
    <w:bookmarkEnd w:id="23"/>
    <w:bookmarkStart w:id="24" w:name="time-state-and-coverage-preparation"/>
    <w:p>
      <w:pPr>
        <w:pStyle w:val="Heading2"/>
      </w:pPr>
      <w:r>
        <w:t xml:space="preserve">Time, state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An original one-minute value was retained only when all expected logger readings within that minute were present and finite.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BodyText"/>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the hybrid full-day minutes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accepted exact-all-zero screen.</w:t>
      </w:r>
    </w:p>
    <w:bookmarkEnd w:id="24"/>
    <w:bookmarkStart w:id="25" w:name="exposure-metrics"/>
    <w:p>
      <w:pPr>
        <w:pStyle w:val="Heading2"/>
      </w:pPr>
      <w:r>
        <w:t xml:space="preserve">Exposure metrics</w:t>
      </w:r>
    </w:p>
    <w:p>
      <w:pPr>
        <w:pStyle w:val="FirstParagraph"/>
      </w:pPr>
      <w:r>
        <w:t xml:space="preserve">Metrics were derived in R</w:t>
      </w:r>
      <w:hyperlink w:anchor="ref-base">
        <w:r>
          <w:rPr>
            <w:rStyle w:val="Hyperlink"/>
            <w:vertAlign w:val="superscript"/>
          </w:rPr>
          <w:t xml:space="preserve">60</w:t>
        </w:r>
      </w:hyperlink>
      <w:r>
        <w:t xml:space="preserve"> </w:t>
      </w:r>
      <w:r>
        <w:t xml:space="preserve">with LightLogR</w:t>
      </w:r>
      <w:hyperlink w:anchor="ref-LightLogR">
        <w:r>
          <w:rPr>
            <w:rStyle w:val="Hyperlink"/>
            <w:vertAlign w:val="superscript"/>
          </w:rPr>
          <w:t xml:space="preserve">61</w:t>
        </w:r>
      </w:hyperlink>
      <w:r>
        <w:rPr>
          <w:vertAlign w:val="superscript"/>
        </w:rPr>
        <w:t xml:space="preserve">,</w:t>
      </w:r>
      <w:hyperlink w:anchor="ref-hartmeyer2023">
        <w:r>
          <w:rPr>
            <w:rStyle w:val="Hyperlink"/>
            <w:vertAlign w:val="superscript"/>
          </w:rPr>
          <w:t xml:space="preserve">62</w:t>
        </w:r>
      </w:hyperlink>
      <w:r>
        <w:t xml:space="preserve">. The 17 outcomes represented complementary properties of the daily pattern. Three level metrics described the daily geometric mean and the brightest and darkest 10-hour means.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63</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BodyText"/>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 The measure was not a ratio of daily integrals and used no time-profile weighting.</w:t>
      </w:r>
    </w:p>
    <w:bookmarkEnd w:id="25"/>
    <w:bookmarkStart w:id="26" w:name="X37a77d5b63ce7e250c02da07ce60242a1a637f0"/>
    <w:p>
      <w:pPr>
        <w:pStyle w:val="Heading2"/>
      </w:pPr>
      <w:r>
        <w:t xml:space="preserve">Recommendation-context and adherence analyses</w:t>
      </w:r>
    </w:p>
    <w:p>
      <w:pPr>
        <w:pStyle w:val="FirstParagraph"/>
      </w:pPr>
      <w:r>
        <w:t xml:space="preserve">We compared valid one-minute values with the Brown et al. contexts</w:t>
      </w:r>
      <w:hyperlink w:anchor="ref-brown2022">
        <w:r>
          <w:rPr>
            <w:rStyle w:val="Hyperlink"/>
            <w:vertAlign w:val="superscript"/>
          </w:rPr>
          <w:t xml:space="preserve">8</w:t>
        </w:r>
      </w:hyperlink>
      <w:r>
        <w:t xml:space="preserve">: at least 250 lx melanopic EDI during diary-defined wake, no more than 10 lx during the three hours before sleep and no more than 1 lx during reported sleep. The Pre-sleep interval comprised the three hours before reported sleep and was excluded from Wake. Each descriptive numerator was divided by all valid primary-record minutes in the corresponding state and pooled across the accepted sample. Wake and Pre-sleep used the worn near-eye record; Sleep used the bedside sleep-environment record. These fractions were not aggregated into participant classifications or treated as biological-response thresholds.</w:t>
      </w:r>
    </w:p>
    <w:p>
      <w:pPr>
        <w:pStyle w:val="BodyText"/>
      </w:pPr>
      <w:r>
        <w:t xml:space="preserve">The main adherence analysis retained one row per state period and defined adherence as adherent valid minutes divided by all valid minutes in that period. A behavioural cycle crossed midnight when necessary and inherited the Work or Free label of the calendar date on which Wake began. The any-valid primary sample retained a state with at least one valid comparison; an otherwise identical claim gate required at least 80% coverage of the exact state interval. Exact 0% and 100% periods remained in an endpoint-inflated beta-binomial model. Fixed predictors represented the complete State-by-Site-by-Day-type pattern, and the retained random effect was a participant intercept in the beta-binomial mean. Population averages weighted all nine sites equally. Separate FDR families covered state-specific Free-minus-Work contrasts, interaction tests, site-specific contrasts against zero and 27 comparisons of site-specific contrasts with their state-specific equal-site values. Chest models were fitted separately for Wake and Pre-sleep. Calibration, coverage, temporal, influence and model-structure checks remained attached to the analysis; unresolved actual-date dependence limited precision and robustness claims.</w:t>
      </w:r>
    </w:p>
    <w:p>
      <w:pPr>
        <w:pStyle w:val="BodyText"/>
      </w:pPr>
      <w:r>
        <w:t xml:space="preserve">The exploratory cross-state extension used Wake adherence as the predictor and Sleep or Pre-sleep adherence as outcomes in Wake-anchored behavioural cycles. It separated each participant’s cycle-specific Wake deviation from their observed average Wake adherence, while adjusting for state, site, day type, their accepted interactions and the participant’s mix of Wake observations across day types. The four within-participant and between-participant associations formed one FDR family. Positive serial dependence remained unresolved and some unchanged sensitivity fits were non-estimable, so no within-participant day-level claim was released. The anonymous profile display, if used, contains equal-cycle participant means for 139 complete three-state profiles and 417 participant-state points; it does not identify, rank or define stable participant types.</w:t>
      </w:r>
    </w:p>
    <w:bookmarkEnd w:id="26"/>
    <w:bookmarkStart w:id="27" w:name="daily-temporal-architecture"/>
    <w:p>
      <w:pPr>
        <w:pStyle w:val="Heading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64</w:t>
        </w:r>
      </w:hyperlink>
      <w:r>
        <w:rPr>
          <w:vertAlign w:val="superscript"/>
        </w:rPr>
        <w:t xml:space="preserve">–</w:t>
      </w:r>
      <w:hyperlink w:anchor="ref-pedersen2019">
        <w:r>
          <w:rPr>
            <w:rStyle w:val="Hyperlink"/>
            <w:vertAlign w:val="superscript"/>
          </w:rPr>
          <w:t xml:space="preserve">67</w:t>
        </w:r>
      </w:hyperlink>
      <w:r>
        <w:t xml:space="preserve">. A boundary-aware first-order autoregressive working structure prevented residual sequences from crossing participant-day, clock-repeat or gap boundaries. Fitted-curve dispersion was compared on a common 48-bin grid. Conditional Shapley allocation averaged each component’s in-sample model-fit credit across all component orders, thereby distributing shared fitted information rather than assigning causal or predictive importance</w:t>
      </w:r>
      <w:hyperlink w:anchor="ref-azen2003">
        <w:r>
          <w:rPr>
            <w:rStyle w:val="Hyperlink"/>
            <w:vertAlign w:val="superscript"/>
          </w:rPr>
          <w:t xml:space="preserve">68</w:t>
        </w:r>
      </w:hyperlink>
      <w:r>
        <w:rPr>
          <w:vertAlign w:val="superscript"/>
        </w:rPr>
        <w:t xml:space="preserve">,</w:t>
      </w:r>
      <w:hyperlink w:anchor="ref-groemping2007">
        <w:r>
          <w:rPr>
            <w:rStyle w:val="Hyperlink"/>
            <w:vertAlign w:val="superscript"/>
          </w:rPr>
          <w:t xml:space="preserve">69</w:t>
        </w:r>
      </w:hyperlink>
      <w:r>
        <w:t xml:space="preserve">. Confidence intervals for dispersion and allocation ratios used 2,000 hierarchical cluster resamples while holding the fitted model structure fixed.</w:t>
      </w:r>
    </w:p>
    <w:bookmarkEnd w:id="27"/>
    <w:bookmarkStart w:id="28" w:name="geographic-and-photoperiod-analyses"/>
    <w:p>
      <w:pPr>
        <w:pStyle w:val="Heading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70</w:t>
        </w:r>
      </w:hyperlink>
      <w:r>
        <w:rPr>
          <w:vertAlign w:val="superscript"/>
        </w:rPr>
        <w:t xml:space="preserve">,</w:t>
      </w:r>
      <w:hyperlink w:anchor="ref-dunn2005">
        <w:r>
          <w:rPr>
            <w:rStyle w:val="Hyperlink"/>
            <w:vertAlign w:val="superscript"/>
          </w:rPr>
          <w:t xml:space="preserve">71</w:t>
        </w:r>
      </w:hyperlink>
      <w:r>
        <w:t xml:space="preserve">. Site, civil photoperiod, absolute latitude and site-versus-linear-latitude adequacy were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72</w:t>
        </w:r>
      </w:hyperlink>
      <w:r>
        <w:rPr>
          <w:vertAlign w:val="superscript"/>
        </w:rPr>
        <w:t xml:space="preserve">–</w:t>
      </w:r>
      <w:hyperlink w:anchor="ref-performance">
        <w:r>
          <w:rPr>
            <w:rStyle w:val="Hyperlink"/>
            <w:vertAlign w:val="superscript"/>
          </w:rPr>
          <w:t xml:space="preserve">74</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75</w:t>
        </w:r>
      </w:hyperlink>
      <w:r>
        <w:t xml:space="preserve">.</w:t>
      </w:r>
    </w:p>
    <w:p>
      <w:pPr>
        <w:pStyle w:val="BodyText"/>
      </w:pPr>
      <w:r>
        <w:t xml:space="preserve">Nonlinear photoperiod analyses fitted each of nine planned metrics separately with a restricted-maximum-likelihood generalised additive model,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76</w:t>
        </w:r>
      </w:hyperlink>
      <w:r>
        <w:t xml:space="preserve">. A qualifying descriptive transition required the preceding slope interval to be wholly above zero, the next interval to include zero and every later interval through the recorded maximum to remain compatible with zero. This procedure located a change in the fitted slope but did not test equivalence, a mechanism or a physiological ceiling. Expanded-basis, fixed-site, common-sample and leave-one-site-out analyses assessed stability. The gap-timing-unaware dataset still passed the 50%-per-hour and 80%-per-day rules, but did not use the timing of remaining missing observations for an additional metric-specific adjustment.</w:t>
      </w:r>
    </w:p>
    <w:bookmarkEnd w:id="28"/>
    <w:bookmarkStart w:id="29" w:name="immediate-context-and-routine-analyses"/>
    <w:p>
      <w:pPr>
        <w:pStyle w:val="Heading2"/>
      </w:pPr>
      <w:r>
        <w:t xml:space="preserve">Immediate-context and routine analyses</w:t>
      </w:r>
    </w:p>
    <w:p>
      <w:pPr>
        <w:pStyle w:val="FirstParagraph"/>
      </w:pPr>
      <w:r>
        <w:t xml:space="preserve">Light-source and activity analyses modelled the zero-aware one-hour geometric mean melanopic EDI with fixed-power quasi-Tweedie log-mean models and participant-cluster robust inference</w:t>
      </w:r>
      <w:hyperlink w:anchor="ref-jorgensen1987">
        <w:r>
          <w:rPr>
            <w:rStyle w:val="Hyperlink"/>
            <w:vertAlign w:val="superscript"/>
          </w:rPr>
          <w:t xml:space="preserve">70</w:t>
        </w:r>
      </w:hyperlink>
      <w:r>
        <w:rPr>
          <w:vertAlign w:val="superscript"/>
        </w:rPr>
        <w:t xml:space="preserve">,</w:t>
      </w:r>
      <w:hyperlink w:anchor="ref-dunn2005">
        <w:r>
          <w:rPr>
            <w:rStyle w:val="Hyperlink"/>
            <w:vertAlign w:val="superscript"/>
          </w:rPr>
          <w:t xml:space="preserve">71</w:t>
        </w:r>
      </w:hyperlink>
      <w:r>
        <w:t xml:space="preserve">. Additive fixed-site models supplied primary category tests. Category-by-site interaction models supplied site-average category estimates, ratios and site-specific context when the interaction was supported. The activity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within/between sensitivity of the light-source analysis added six participant-level category-proportion terms while retaining participant-clustered covariance;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near eye for light source and separately at both positions for activity, with the power fixed at 1.539919</w:t>
      </w:r>
      <w:hyperlink w:anchor="ref-glmmTMB">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74</w:t>
        </w:r>
      </w:hyperlink>
      <w:r>
        <w:t xml:space="preserve">. The activity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These were model-based point descriptions without bootstrap intervals. No model included random category slopes.</w:t>
      </w:r>
    </w:p>
    <w:p>
      <w:pPr>
        <w:pStyle w:val="BodyText"/>
      </w:pPr>
      <w:r>
        <w:t xml:space="preserve">The main hourly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 The complementary participant-day analysis fitted 15 metric slots separately for each predictor with participant random effects or participant-cluster HC3 models for clock outcomes. It retained separate primary and gap-timing-unaware association and interaction families. The hourly and daily analyses used related but different outcomes, weighting and model structures; neither substitutes for the other.</w:t>
      </w:r>
    </w:p>
    <w:bookmarkEnd w:id="29"/>
    <w:bookmarkStart w:id="30" w:name="person-level-analyses"/>
    <w:p>
      <w:pPr>
        <w:pStyle w:val="Heading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slots. Chronotype instruments were modelled separately across five timing outcomes. Age effects were scaled per decade, and Female-minus-Male contrasts used Male as the reference. Average associations and predictor-by-site interactions were distinct questions.</w:t>
      </w:r>
    </w:p>
    <w:p>
      <w:pPr>
        <w:pStyle w:val="BodyText"/>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activity adjustment were secondary or exploratory analyses.</w:t>
      </w:r>
    </w:p>
    <w:bookmarkEnd w:id="30"/>
    <w:bookmarkStart w:id="31" w:name="Xec1156f71fe0a78293b9f2d87d5d5097f9a098d"/>
    <w:p>
      <w:pPr>
        <w:pStyle w:val="Heading2"/>
      </w:pPr>
      <w:r>
        <w:t xml:space="preserve">Multiplicity, uncertainty, model checks and sensitivities</w:t>
      </w:r>
    </w:p>
    <w:p>
      <w:pPr>
        <w:pStyle w:val="FirstParagraph"/>
      </w:pPr>
      <w:r>
        <w:t xml:space="preserve">Tests were two-sided. We controlled false discovery rate with the Benjamini-Hochberg procedure separately within each declared complete family</w:t>
      </w:r>
      <w:hyperlink w:anchor="ref-benjamini1995">
        <w:r>
          <w:rPr>
            <w:rStyle w:val="Hyperlink"/>
            <w:vertAlign w:val="superscript"/>
          </w:rPr>
          <w:t xml:space="preserve">77</w:t>
        </w:r>
      </w:hyperlink>
      <w:r>
        <w:t xml:space="preserve">. We report 95% confidence intervals and 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BodyText"/>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60</w:t>
        </w:r>
      </w:hyperlink>
      <w:r>
        <w:rPr>
          <w:vertAlign w:val="superscript"/>
        </w:rPr>
        <w:t xml:space="preserve">,</w:t>
      </w:r>
      <w:hyperlink w:anchor="ref-tidyverse">
        <w:r>
          <w:rPr>
            <w:rStyle w:val="Hyperlink"/>
            <w:vertAlign w:val="superscript"/>
          </w:rPr>
          <w:t xml:space="preserve">78</w:t>
        </w:r>
      </w:hyperlink>
      <w:r>
        <w:t xml:space="preserve">. Exact package versions, formulas, inputs and output identities are reported in the Supplementary Information and reproducibility records.</w:t>
      </w:r>
    </w:p>
    <w:bookmarkEnd w:id="31"/>
    <w:bookmarkStart w:id="32" w:name="preregistration-and-deviations"/>
    <w:p>
      <w:pPr>
        <w:pStyle w:val="Heading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79</w:t>
        </w:r>
      </w:hyperlink>
      <w:r>
        <w:t xml:space="preserve">. The accepted analyses preserve the registered scientific questions but include documented changes to placement priority, state and coverage rules, metric definitions, outcome construction, model families, site structure, multiplicity and sensitivity handling. The main manuscript reports the current estimands rather than the historical hypothesis sequence. A complete mapping distinguishes current scientific deviations, current qualifications, superseded implementation history and technical provenance in the Supplementary Information.</w:t>
      </w:r>
    </w:p>
    <w:bookmarkEnd w:id="32"/>
    <w:bookmarkStart w:id="33" w:name="artificial-intelligence-assistance"/>
    <w:p>
      <w:pPr>
        <w:pStyle w:val="Heading2"/>
      </w:pPr>
      <w:r>
        <w:t xml:space="preserve">Artificial-intelligence assistance</w:t>
      </w:r>
    </w:p>
    <w:p>
      <w:pPr>
        <w:pStyle w:val="FirstParagraph"/>
      </w:pPr>
      <w:r>
        <w:t xml:space="preserve">A large language model assisted with evidence organisation, narrative planning, clarity editing, citation and cross-reference preparation and mechanical traceability checks. It did not fit models or generate the accepted scientific results reported here. The authors remain responsible for source verification, interpretation and final wording. The final statement will identify the applicable system, version and human-review process in accordance with journal policy.</w:t>
      </w:r>
    </w:p>
    <w:bookmarkEnd w:id="33"/>
    <w:bookmarkEnd w:id="34"/>
    <w:bookmarkStart w:id="37" w:name="data-availability"/>
    <w:p>
      <w:pPr>
        <w:pStyle w:val="Heading1"/>
      </w:pPr>
      <w:r>
        <w:t xml:space="preserve">Data availability</w:t>
      </w:r>
    </w:p>
    <w:p>
      <w:pPr>
        <w:pStyle w:val="FirstParagraph"/>
      </w:pPr>
      <w:r>
        <w:t xml:space="preserve">All data used in this study are available through the</w:t>
      </w:r>
      <w:r>
        <w:t xml:space="preserve"> </w:t>
      </w:r>
      <w:hyperlink r:id="rId35">
        <w:r>
          <w:rPr>
            <w:rStyle w:val="Hyperlink"/>
          </w:rPr>
          <w:t xml:space="preserve">MeLiDos Project GitHub organisation</w:t>
        </w:r>
      </w:hyperlink>
      <w:r>
        <w:t xml:space="preserve"> </w:t>
      </w:r>
      <w:r>
        <w:t xml:space="preserve">and are archived in the</w:t>
      </w:r>
      <w:r>
        <w:t xml:space="preserve"> </w:t>
      </w:r>
      <w:hyperlink r:id="rId36">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80</w:t>
        </w:r>
      </w:hyperlink>
      <w:r>
        <w:rPr>
          <w:vertAlign w:val="superscript"/>
        </w:rPr>
        <w:t xml:space="preserve">–</w:t>
      </w:r>
      <w:hyperlink w:anchor="ref-aerts2025">
        <w:r>
          <w:rPr>
            <w:rStyle w:val="Hyperlink"/>
            <w:vertAlign w:val="superscript"/>
          </w:rPr>
          <w:t xml:space="preserve">88</w:t>
        </w:r>
      </w:hyperlink>
      <w:r>
        <w:t xml:space="preserve">. These records and other project resources are indexed through the MeLiDos Project Data Hub</w:t>
      </w:r>
      <w:hyperlink w:anchor="ref-zauner2026a">
        <w:r>
          <w:rPr>
            <w:rStyle w:val="Hyperlink"/>
            <w:vertAlign w:val="superscript"/>
          </w:rPr>
          <w:t xml:space="preserve">89</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90</w:t>
        </w:r>
      </w:hyperlink>
      <w:r>
        <w:t xml:space="preserve">.</w:t>
      </w:r>
    </w:p>
    <w:bookmarkEnd w:id="37"/>
    <w:bookmarkStart w:id="41" w:name="code-availability"/>
    <w:p>
      <w:pPr>
        <w:pStyle w:val="Heading1"/>
      </w:pPr>
      <w:r>
        <w:t xml:space="preserve">Code availability</w:t>
      </w:r>
    </w:p>
    <w:p>
      <w:pPr>
        <w:pStyle w:val="FirstParagraph"/>
      </w:pPr>
      <w:r>
        <w:t xml:space="preserve">All analysis code is available in the</w:t>
      </w:r>
      <w:r>
        <w:t xml:space="preserve"> </w:t>
      </w:r>
      <w:hyperlink r:id="rId38">
        <w:r>
          <w:rPr>
            <w:rStyle w:val="Hyperlink"/>
          </w:rPr>
          <w:t xml:space="preserve">project repository</w:t>
        </w:r>
      </w:hyperlink>
      <w:r>
        <w:t xml:space="preserve">, with rendered reports on</w:t>
      </w:r>
      <w:r>
        <w:t xml:space="preserve"> </w:t>
      </w:r>
      <w:hyperlink r:id="rId39">
        <w:r>
          <w:rPr>
            <w:rStyle w:val="Hyperlink"/>
          </w:rPr>
          <w:t xml:space="preserve">GitHub Pages</w:t>
        </w:r>
      </w:hyperlink>
      <w:r>
        <w:t xml:space="preserve"> </w:t>
      </w:r>
      <w:r>
        <w:t xml:space="preserve">and an archive on</w:t>
      </w:r>
      <w:r>
        <w:t xml:space="preserve"> </w:t>
      </w:r>
      <w:hyperlink r:id="rId40">
        <w:r>
          <w:rPr>
            <w:rStyle w:val="Hyperlink"/>
          </w:rPr>
          <w:t xml:space="preserve">Zenodo</w:t>
        </w:r>
      </w:hyperlink>
      <w:r>
        <w:t xml:space="preserve">. The archived version will be reconciled with the final manuscript snapshot before submission.</w:t>
      </w:r>
    </w:p>
    <w:bookmarkEnd w:id="41"/>
    <w:bookmarkStart w:id="223" w:name="references"/>
    <w:p>
      <w:pPr>
        <w:pStyle w:val="Heading1"/>
      </w:pPr>
      <w:r>
        <w:t xml:space="preserve">References</w:t>
      </w:r>
    </w:p>
    <w:bookmarkStart w:id="222" w:name="refs"/>
    <w:bookmarkStart w:id="43" w:name="ref-czeisler2007"/>
    <w:p>
      <w:pPr>
        <w:pStyle w:val="Bibliography"/>
      </w:pPr>
      <w:r>
        <w:t xml:space="preserve">1.</w:t>
      </w:r>
      <w:r>
        <w:t xml:space="preserve"> </w:t>
      </w:r>
      <w:r>
        <w:t xml:space="preserve">	</w:t>
      </w:r>
      <w:r>
        <w:t xml:space="preserve">Czeisler, C. A. &amp; Gooley, J. J.</w:t>
      </w:r>
      <w:r>
        <w:t xml:space="preserve"> </w:t>
      </w:r>
      <w:hyperlink r:id="rId42">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43"/>
    <w:bookmarkStart w:id="45" w:name="ref-dijk2009"/>
    <w:p>
      <w:pPr>
        <w:pStyle w:val="Bibliography"/>
      </w:pPr>
      <w:r>
        <w:t xml:space="preserve">2.</w:t>
      </w:r>
      <w:r>
        <w:t xml:space="preserve"> </w:t>
      </w:r>
      <w:r>
        <w:t xml:space="preserve">	</w:t>
      </w:r>
      <w:r>
        <w:t xml:space="preserve">Dijk, D.-J. &amp; Archer, S. N.</w:t>
      </w:r>
      <w:r>
        <w:t xml:space="preserve"> </w:t>
      </w:r>
      <w:hyperlink r:id="rId44">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45"/>
    <w:bookmarkStart w:id="47" w:name="ref-roenneberg2007"/>
    <w:p>
      <w:pPr>
        <w:pStyle w:val="Bibliography"/>
      </w:pPr>
      <w:r>
        <w:t xml:space="preserve">3.</w:t>
      </w:r>
      <w:r>
        <w:t xml:space="preserve"> </w:t>
      </w:r>
      <w:r>
        <w:t xml:space="preserve">	</w:t>
      </w:r>
      <w:r>
        <w:t xml:space="preserve">Roenneberg, T. &amp; Merrow, M.</w:t>
      </w:r>
      <w:r>
        <w:t xml:space="preserve"> </w:t>
      </w:r>
      <w:hyperlink r:id="rId46">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47"/>
    <w:bookmarkStart w:id="49" w:name="ref-blume2019"/>
    <w:p>
      <w:pPr>
        <w:pStyle w:val="Bibliography"/>
      </w:pPr>
      <w:r>
        <w:t xml:space="preserve">4.</w:t>
      </w:r>
      <w:r>
        <w:t xml:space="preserve"> </w:t>
      </w:r>
      <w:r>
        <w:t xml:space="preserve">	</w:t>
      </w:r>
      <w:r>
        <w:t xml:space="preserve">Blume, C., Garbazza, C. &amp; Spitschan, M.</w:t>
      </w:r>
      <w:r>
        <w:t xml:space="preserve"> </w:t>
      </w:r>
      <w:hyperlink r:id="rId48">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49"/>
    <w:bookmarkStart w:id="51" w:name="ref-spitschan2026"/>
    <w:p>
      <w:pPr>
        <w:pStyle w:val="Bibliography"/>
      </w:pPr>
      <w:r>
        <w:t xml:space="preserve">5.</w:t>
      </w:r>
      <w:r>
        <w:t xml:space="preserve"> </w:t>
      </w:r>
      <w:r>
        <w:t xml:space="preserve">	</w:t>
      </w:r>
      <w:r>
        <w:t xml:space="preserve">Spitschan, M.</w:t>
      </w:r>
      <w:r>
        <w:t xml:space="preserve"> </w:t>
      </w:r>
      <w:r>
        <w:rPr>
          <w:i/>
          <w:iCs/>
        </w:rPr>
        <w:t xml:space="preserve">et al.</w:t>
      </w:r>
      <w:r>
        <w:t xml:space="preserve"> </w:t>
      </w:r>
      <w:hyperlink r:id="rId50">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51"/>
    <w:bookmarkStart w:id="53" w:name="ref-cie2018s026"/>
    <w:p>
      <w:pPr>
        <w:pStyle w:val="Bibliography"/>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52">
        <w:r>
          <w:rPr>
            <w:rStyle w:val="Hyperlink"/>
          </w:rPr>
          <w:t xml:space="preserve">10.25039/S026.2018</w:t>
        </w:r>
      </w:hyperlink>
      <w:r>
        <w:t xml:space="preserve">.</w:t>
      </w:r>
    </w:p>
    <w:bookmarkEnd w:id="53"/>
    <w:bookmarkStart w:id="55" w:name="ref-brown2020"/>
    <w:p>
      <w:pPr>
        <w:pStyle w:val="Bibliography"/>
      </w:pPr>
      <w:r>
        <w:t xml:space="preserve">7.</w:t>
      </w:r>
      <w:r>
        <w:t xml:space="preserve"> </w:t>
      </w:r>
      <w:r>
        <w:t xml:space="preserve">	</w:t>
      </w:r>
      <w:r>
        <w:t xml:space="preserve">Brown, T. M.</w:t>
      </w:r>
      <w:r>
        <w:t xml:space="preserve"> </w:t>
      </w:r>
      <w:hyperlink r:id="rId54">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55"/>
    <w:bookmarkStart w:id="57" w:name="ref-brown2022"/>
    <w:p>
      <w:pPr>
        <w:pStyle w:val="Bibliography"/>
      </w:pPr>
      <w:r>
        <w:t xml:space="preserve">8.</w:t>
      </w:r>
      <w:r>
        <w:t xml:space="preserve"> </w:t>
      </w:r>
      <w:r>
        <w:t xml:space="preserve">	</w:t>
      </w:r>
      <w:r>
        <w:t xml:space="preserve">Brown, T. M.</w:t>
      </w:r>
      <w:r>
        <w:t xml:space="preserve"> </w:t>
      </w:r>
      <w:r>
        <w:rPr>
          <w:i/>
          <w:iCs/>
        </w:rPr>
        <w:t xml:space="preserve">et al.</w:t>
      </w:r>
      <w:r>
        <w:t xml:space="preserve"> </w:t>
      </w:r>
      <w:hyperlink r:id="rId56">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57"/>
    <w:bookmarkStart w:id="59" w:name="ref-spitschan2026a"/>
    <w:p>
      <w:pPr>
        <w:pStyle w:val="Bibliography"/>
      </w:pPr>
      <w:r>
        <w:t xml:space="preserve">9.</w:t>
      </w:r>
      <w:r>
        <w:t xml:space="preserve"> </w:t>
      </w:r>
      <w:r>
        <w:t xml:space="preserve">	</w:t>
      </w:r>
      <w:r>
        <w:t xml:space="preserve">Spitschan, M. &amp; Zauner, J.</w:t>
      </w:r>
      <w:r>
        <w:t xml:space="preserve"> </w:t>
      </w:r>
      <w:hyperlink r:id="rId58">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59"/>
    <w:bookmarkStart w:id="61" w:name="ref-didikoglu2023"/>
    <w:p>
      <w:pPr>
        <w:pStyle w:val="Bibliography"/>
      </w:pPr>
      <w:r>
        <w:t xml:space="preserve">10.</w:t>
      </w:r>
      <w:r>
        <w:t xml:space="preserve"> </w:t>
      </w:r>
      <w:r>
        <w:t xml:space="preserve">	</w:t>
      </w:r>
      <w:r>
        <w:t xml:space="preserve">Didikoglu, A.</w:t>
      </w:r>
      <w:r>
        <w:t xml:space="preserve"> </w:t>
      </w:r>
      <w:r>
        <w:rPr>
          <w:i/>
          <w:iCs/>
        </w:rPr>
        <w:t xml:space="preserve">et al.</w:t>
      </w:r>
      <w:r>
        <w:t xml:space="preserve"> </w:t>
      </w:r>
      <w:hyperlink r:id="rId60">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61"/>
    <w:bookmarkStart w:id="63" w:name="ref-lok2023"/>
    <w:p>
      <w:pPr>
        <w:pStyle w:val="Bibliography"/>
      </w:pPr>
      <w:r>
        <w:t xml:space="preserve">11.</w:t>
      </w:r>
      <w:r>
        <w:t xml:space="preserve"> </w:t>
      </w:r>
      <w:r>
        <w:t xml:space="preserve">	</w:t>
      </w:r>
      <w:r>
        <w:t xml:space="preserve">Lok, R.</w:t>
      </w:r>
      <w:r>
        <w:t xml:space="preserve"> </w:t>
      </w:r>
      <w:r>
        <w:rPr>
          <w:i/>
          <w:iCs/>
        </w:rPr>
        <w:t xml:space="preserve">et al.</w:t>
      </w:r>
      <w:r>
        <w:t xml:space="preserve"> </w:t>
      </w:r>
      <w:hyperlink r:id="rId62">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63"/>
    <w:bookmarkStart w:id="65" w:name="ref-burns2023"/>
    <w:p>
      <w:pPr>
        <w:pStyle w:val="Bibliography"/>
      </w:pPr>
      <w:r>
        <w:t xml:space="preserve">12.</w:t>
      </w:r>
      <w:r>
        <w:t xml:space="preserve"> </w:t>
      </w:r>
      <w:r>
        <w:t xml:space="preserve">	</w:t>
      </w:r>
      <w:r>
        <w:t xml:space="preserve">Burns, A. C.</w:t>
      </w:r>
      <w:r>
        <w:t xml:space="preserve"> </w:t>
      </w:r>
      <w:r>
        <w:rPr>
          <w:i/>
          <w:iCs/>
        </w:rPr>
        <w:t xml:space="preserve">et al.</w:t>
      </w:r>
      <w:r>
        <w:t xml:space="preserve"> </w:t>
      </w:r>
      <w:hyperlink r:id="rId64">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65"/>
    <w:bookmarkStart w:id="67" w:name="ref-windred2024"/>
    <w:p>
      <w:pPr>
        <w:pStyle w:val="Bibliography"/>
      </w:pPr>
      <w:r>
        <w:t xml:space="preserve">13.</w:t>
      </w:r>
      <w:r>
        <w:t xml:space="preserve"> </w:t>
      </w:r>
      <w:r>
        <w:t xml:space="preserve">	</w:t>
      </w:r>
      <w:r>
        <w:t xml:space="preserve">Windred, D. P.</w:t>
      </w:r>
      <w:r>
        <w:t xml:space="preserve"> </w:t>
      </w:r>
      <w:r>
        <w:rPr>
          <w:i/>
          <w:iCs/>
        </w:rPr>
        <w:t xml:space="preserve">et al.</w:t>
      </w:r>
      <w:r>
        <w:t xml:space="preserve"> </w:t>
      </w:r>
      <w:hyperlink r:id="rId66">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67"/>
    <w:bookmarkStart w:id="69" w:name="ref-windred2025cardiovascular"/>
    <w:p>
      <w:pPr>
        <w:pStyle w:val="Bibliography"/>
      </w:pPr>
      <w:r>
        <w:t xml:space="preserve">14.</w:t>
      </w:r>
      <w:r>
        <w:t xml:space="preserve"> </w:t>
      </w:r>
      <w:r>
        <w:t xml:space="preserve">	</w:t>
      </w:r>
      <w:r>
        <w:t xml:space="preserve">Windred, D. P.</w:t>
      </w:r>
      <w:r>
        <w:t xml:space="preserve"> </w:t>
      </w:r>
      <w:r>
        <w:rPr>
          <w:i/>
          <w:iCs/>
        </w:rPr>
        <w:t xml:space="preserve">et al.</w:t>
      </w:r>
      <w:r>
        <w:t xml:space="preserve"> </w:t>
      </w:r>
      <w:hyperlink r:id="rId68">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69"/>
    <w:bookmarkStart w:id="71" w:name="ref-windred2024a"/>
    <w:p>
      <w:pPr>
        <w:pStyle w:val="Bibliography"/>
      </w:pPr>
      <w:r>
        <w:t xml:space="preserve">15.</w:t>
      </w:r>
      <w:r>
        <w:t xml:space="preserve"> </w:t>
      </w:r>
      <w:r>
        <w:t xml:space="preserve">	</w:t>
      </w:r>
      <w:r>
        <w:t xml:space="preserve">Windred, D. P.</w:t>
      </w:r>
      <w:r>
        <w:t xml:space="preserve"> </w:t>
      </w:r>
      <w:r>
        <w:rPr>
          <w:i/>
          <w:iCs/>
        </w:rPr>
        <w:t xml:space="preserve">et al.</w:t>
      </w:r>
      <w:r>
        <w:t xml:space="preserve"> </w:t>
      </w:r>
      <w:hyperlink r:id="rId70">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71"/>
    <w:bookmarkStart w:id="73" w:name="ref-esaki2020"/>
    <w:p>
      <w:pPr>
        <w:pStyle w:val="Bibliography"/>
      </w:pPr>
      <w:r>
        <w:t xml:space="preserve">16.</w:t>
      </w:r>
      <w:r>
        <w:t xml:space="preserve"> </w:t>
      </w:r>
      <w:r>
        <w:t xml:space="preserve">	</w:t>
      </w:r>
      <w:r>
        <w:t xml:space="preserve">Esaki, Y.</w:t>
      </w:r>
      <w:r>
        <w:t xml:space="preserve"> </w:t>
      </w:r>
      <w:r>
        <w:rPr>
          <w:i/>
          <w:iCs/>
        </w:rPr>
        <w:t xml:space="preserve">et al.</w:t>
      </w:r>
      <w:r>
        <w:t xml:space="preserve"> </w:t>
      </w:r>
      <w:hyperlink r:id="rId72">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73"/>
    <w:bookmarkStart w:id="75" w:name="ref-obayashi2016"/>
    <w:p>
      <w:pPr>
        <w:pStyle w:val="Bibliography"/>
      </w:pPr>
      <w:r>
        <w:t xml:space="preserve">17.</w:t>
      </w:r>
      <w:r>
        <w:t xml:space="preserve"> </w:t>
      </w:r>
      <w:r>
        <w:t xml:space="preserve">	</w:t>
      </w:r>
      <w:r>
        <w:t xml:space="preserve">Obayashi, K., Saeki, K. &amp; Kurumatani, N.</w:t>
      </w:r>
      <w:r>
        <w:t xml:space="preserve"> </w:t>
      </w:r>
      <w:hyperlink r:id="rId74">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75"/>
    <w:bookmarkStart w:id="77" w:name="ref-kim2022"/>
    <w:p>
      <w:pPr>
        <w:pStyle w:val="Bibliography"/>
      </w:pPr>
      <w:r>
        <w:t xml:space="preserve">18.</w:t>
      </w:r>
      <w:r>
        <w:t xml:space="preserve"> </w:t>
      </w:r>
      <w:r>
        <w:t xml:space="preserve">	</w:t>
      </w:r>
      <w:r>
        <w:t xml:space="preserve">Kim, M.</w:t>
      </w:r>
      <w:r>
        <w:t xml:space="preserve"> </w:t>
      </w:r>
      <w:r>
        <w:rPr>
          <w:i/>
          <w:iCs/>
        </w:rPr>
        <w:t xml:space="preserve">et al.</w:t>
      </w:r>
      <w:r>
        <w:t xml:space="preserve"> </w:t>
      </w:r>
      <w:hyperlink r:id="rId76">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77"/>
    <w:bookmarkStart w:id="79" w:name="ref-gubin2024"/>
    <w:p>
      <w:pPr>
        <w:pStyle w:val="Bibliography"/>
      </w:pPr>
      <w:r>
        <w:t xml:space="preserve">19.</w:t>
      </w:r>
      <w:r>
        <w:t xml:space="preserve"> </w:t>
      </w:r>
      <w:r>
        <w:t xml:space="preserve">	</w:t>
      </w:r>
      <w:r>
        <w:t xml:space="preserve">Gubin, D.</w:t>
      </w:r>
      <w:r>
        <w:t xml:space="preserve"> </w:t>
      </w:r>
      <w:r>
        <w:rPr>
          <w:i/>
          <w:iCs/>
        </w:rPr>
        <w:t xml:space="preserve">et al.</w:t>
      </w:r>
      <w:r>
        <w:t xml:space="preserve"> </w:t>
      </w:r>
      <w:hyperlink r:id="rId78">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79"/>
    <w:bookmarkStart w:id="81" w:name="ref-wallace2025"/>
    <w:p>
      <w:pPr>
        <w:pStyle w:val="Bibliography"/>
      </w:pPr>
      <w:r>
        <w:t xml:space="preserve">20.</w:t>
      </w:r>
      <w:r>
        <w:t xml:space="preserve"> </w:t>
      </w:r>
      <w:r>
        <w:t xml:space="preserve">	</w:t>
      </w:r>
      <w:r>
        <w:t xml:space="preserve">Wallace, D. A.</w:t>
      </w:r>
      <w:r>
        <w:t xml:space="preserve"> </w:t>
      </w:r>
      <w:r>
        <w:rPr>
          <w:i/>
          <w:iCs/>
        </w:rPr>
        <w:t xml:space="preserve">et al.</w:t>
      </w:r>
      <w:r>
        <w:t xml:space="preserve"> </w:t>
      </w:r>
      <w:hyperlink r:id="rId80">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81"/>
    <w:bookmarkStart w:id="83" w:name="ref-savides1986"/>
    <w:p>
      <w:pPr>
        <w:pStyle w:val="Bibliography"/>
      </w:pPr>
      <w:r>
        <w:t xml:space="preserve">21.</w:t>
      </w:r>
      <w:r>
        <w:t xml:space="preserve"> </w:t>
      </w:r>
      <w:r>
        <w:t xml:space="preserve">	</w:t>
      </w:r>
      <w:r>
        <w:t xml:space="preserve">Savides, T. J., Messin, S., Senger, C. &amp; Kripke, D. F.</w:t>
      </w:r>
      <w:r>
        <w:t xml:space="preserve"> </w:t>
      </w:r>
      <w:hyperlink r:id="rId82">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83"/>
    <w:bookmarkStart w:id="85" w:name="ref-price2021"/>
    <w:p>
      <w:pPr>
        <w:pStyle w:val="Bibliography"/>
      </w:pPr>
      <w:r>
        <w:t xml:space="preserve">22.</w:t>
      </w:r>
      <w:r>
        <w:t xml:space="preserve"> </w:t>
      </w:r>
      <w:r>
        <w:t xml:space="preserve">	</w:t>
      </w:r>
      <w:r>
        <w:t xml:space="preserve">Price, L. L. A., Khazova, M. &amp; Udovičić, L.</w:t>
      </w:r>
      <w:r>
        <w:t xml:space="preserve"> </w:t>
      </w:r>
      <w:hyperlink r:id="rId84">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85"/>
    <w:bookmarkStart w:id="87" w:name="ref-biller2024"/>
    <w:p>
      <w:pPr>
        <w:pStyle w:val="Bibliography"/>
      </w:pPr>
      <w:r>
        <w:t xml:space="preserve">23.</w:t>
      </w:r>
      <w:r>
        <w:t xml:space="preserve"> </w:t>
      </w:r>
      <w:r>
        <w:t xml:space="preserve">	</w:t>
      </w:r>
      <w:r>
        <w:t xml:space="preserve">Biller, A. M., Balakrishnan, P. &amp; Spitschan, M.</w:t>
      </w:r>
      <w:r>
        <w:t xml:space="preserve"> </w:t>
      </w:r>
      <w:hyperlink r:id="rId8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87"/>
    <w:bookmarkStart w:id="89" w:name="ref-biller2025"/>
    <w:p>
      <w:pPr>
        <w:pStyle w:val="Bibliography"/>
      </w:pPr>
      <w:r>
        <w:t xml:space="preserve">24.</w:t>
      </w:r>
      <w:r>
        <w:t xml:space="preserve"> </w:t>
      </w:r>
      <w:r>
        <w:t xml:space="preserve">	</w:t>
      </w:r>
      <w:r>
        <w:t xml:space="preserve">Biller, A. M.</w:t>
      </w:r>
      <w:r>
        <w:t xml:space="preserve"> </w:t>
      </w:r>
      <w:r>
        <w:rPr>
          <w:i/>
          <w:iCs/>
        </w:rPr>
        <w:t xml:space="preserve">et al.</w:t>
      </w:r>
      <w:r>
        <w:t xml:space="preserve"> </w:t>
      </w:r>
      <w:hyperlink r:id="rId88">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89"/>
    <w:bookmarkStart w:id="91" w:name="ref-agbeshie2025"/>
    <w:p>
      <w:pPr>
        <w:pStyle w:val="Bibliography"/>
      </w:pPr>
      <w:r>
        <w:t xml:space="preserve">25.</w:t>
      </w:r>
      <w:r>
        <w:t xml:space="preserve"> </w:t>
      </w:r>
      <w:r>
        <w:t xml:space="preserve">	</w:t>
      </w:r>
      <w:r>
        <w:t xml:space="preserve">Agbeshie, G. K.</w:t>
      </w:r>
      <w:r>
        <w:t xml:space="preserve"> </w:t>
      </w:r>
      <w:r>
        <w:rPr>
          <w:i/>
          <w:iCs/>
        </w:rPr>
        <w:t xml:space="preserve">et al.</w:t>
      </w:r>
      <w:r>
        <w:t xml:space="preserve"> </w:t>
      </w:r>
      <w:hyperlink r:id="rId90">
        <w:r>
          <w:rPr>
            <w:rStyle w:val="Hyperlink"/>
          </w:rPr>
          <w:t xml:space="preserve">Physiologically relevant real-world light exposure and its behavioural and environmental determinants in 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91"/>
    <w:bookmarkStart w:id="93" w:name="ref-tengelin2025"/>
    <w:p>
      <w:pPr>
        <w:pStyle w:val="Bibliography"/>
      </w:pPr>
      <w:r>
        <w:t xml:space="preserve">26.</w:t>
      </w:r>
      <w:r>
        <w:t xml:space="preserve"> </w:t>
      </w:r>
      <w:r>
        <w:t xml:space="preserve">	</w:t>
      </w:r>
      <w:r>
        <w:t xml:space="preserve">Tengelin, M. N. &amp; Källberg, S. Initial results from the swedish cohort in a wearable light logger field study.</w:t>
      </w:r>
      <w:r>
        <w:t xml:space="preserve"> </w:t>
      </w:r>
      <w:r>
        <w:rPr>
          <w:i/>
          <w:iCs/>
        </w:rPr>
        <w:t xml:space="preserve">2025 IEEE Sustainable Smart Lighting World Conference &amp;amp; Expo (LS25)</w:t>
      </w:r>
      <w:r>
        <w:t xml:space="preserve"> </w:t>
      </w:r>
      <w:r>
        <w:t xml:space="preserve">1–4 (2025) doi:</w:t>
      </w:r>
      <w:hyperlink r:id="rId92">
        <w:r>
          <w:rPr>
            <w:rStyle w:val="Hyperlink"/>
          </w:rPr>
          <w:t xml:space="preserve">10.1109/ls2566125.2025.11467681</w:t>
        </w:r>
      </w:hyperlink>
      <w:r>
        <w:t xml:space="preserve">.</w:t>
      </w:r>
    </w:p>
    <w:bookmarkEnd w:id="93"/>
    <w:bookmarkStart w:id="95" w:name="ref-huss2019corrected"/>
    <w:p>
      <w:pPr>
        <w:pStyle w:val="Bibliography"/>
      </w:pPr>
      <w:r>
        <w:t xml:space="preserve">27.</w:t>
      </w:r>
      <w:r>
        <w:t xml:space="preserve"> </w:t>
      </w:r>
      <w:r>
        <w:t xml:space="preserve">	</w:t>
      </w:r>
      <w:r>
        <w:t xml:space="preserve">Huss, A.</w:t>
      </w:r>
      <w:r>
        <w:t xml:space="preserve"> </w:t>
      </w:r>
      <w:r>
        <w:rPr>
          <w:i/>
          <w:iCs/>
        </w:rPr>
        <w:t xml:space="preserve">et al.</w:t>
      </w:r>
      <w:r>
        <w:t xml:space="preserve"> </w:t>
      </w:r>
      <w:hyperlink r:id="rId94">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95"/>
    <w:bookmarkStart w:id="97" w:name="ref-vanduijnhoven2025"/>
    <w:p>
      <w:pPr>
        <w:pStyle w:val="Bibliography"/>
      </w:pPr>
      <w:r>
        <w:t xml:space="preserve">28.</w:t>
      </w:r>
      <w:r>
        <w:t xml:space="preserve"> </w:t>
      </w:r>
      <w:r>
        <w:t xml:space="preserve">	</w:t>
      </w:r>
      <w:r>
        <w:t xml:space="preserve">Duijnhoven, J. van</w:t>
      </w:r>
      <w:r>
        <w:t xml:space="preserve"> </w:t>
      </w:r>
      <w:r>
        <w:rPr>
          <w:i/>
          <w:iCs/>
        </w:rPr>
        <w:t xml:space="preserve">et al.</w:t>
      </w:r>
      <w:r>
        <w:t xml:space="preserve"> </w:t>
      </w:r>
      <w:hyperlink r:id="rId96">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97"/>
    <w:bookmarkStart w:id="99" w:name="ref-hartmeyer2022"/>
    <w:p>
      <w:pPr>
        <w:pStyle w:val="Bibliography"/>
      </w:pPr>
      <w:r>
        <w:t xml:space="preserve">29.</w:t>
      </w:r>
      <w:r>
        <w:t xml:space="preserve"> </w:t>
      </w:r>
      <w:r>
        <w:t xml:space="preserve">	</w:t>
      </w:r>
      <w:r>
        <w:t xml:space="preserve">Hartmeyer, S., Webler, F. &amp; Andersen, M.</w:t>
      </w:r>
      <w:r>
        <w:t xml:space="preserve"> </w:t>
      </w:r>
      <w:hyperlink r:id="rId98">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99"/>
    <w:bookmarkStart w:id="101" w:name="ref-devries2025"/>
    <w:p>
      <w:pPr>
        <w:pStyle w:val="Bibliography"/>
      </w:pPr>
      <w:r>
        <w:t xml:space="preserve">30.</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00">
        <w:r>
          <w:rPr>
            <w:rStyle w:val="Hyperlink"/>
          </w:rPr>
          <w:t xml:space="preserve">10.25039/x051.2025/62xbgg</w:t>
        </w:r>
      </w:hyperlink>
      <w:r>
        <w:t xml:space="preserve">.</w:t>
      </w:r>
    </w:p>
    <w:bookmarkEnd w:id="101"/>
    <w:bookmarkStart w:id="103" w:name="ref-devries2026"/>
    <w:p>
      <w:pPr>
        <w:pStyle w:val="Bibliography"/>
      </w:pPr>
      <w:r>
        <w:t xml:space="preserve">31.</w:t>
      </w:r>
      <w:r>
        <w:t xml:space="preserve"> </w:t>
      </w:r>
      <w:r>
        <w:t xml:space="preserve">	</w:t>
      </w:r>
      <w:r>
        <w:t xml:space="preserve">Vries, S. W. de, Mardaljevic, J. &amp; Duijnhoven, J. van.</w:t>
      </w:r>
      <w:r>
        <w:t xml:space="preserve"> </w:t>
      </w:r>
      <w:hyperlink r:id="rId102">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03"/>
    <w:bookmarkStart w:id="105" w:name="ref-devries2026a"/>
    <w:p>
      <w:pPr>
        <w:pStyle w:val="Bibliography"/>
      </w:pPr>
      <w:r>
        <w:t xml:space="preserve">32.</w:t>
      </w:r>
      <w:r>
        <w:t xml:space="preserve"> </w:t>
      </w:r>
      <w:r>
        <w:t xml:space="preserve">	</w:t>
      </w:r>
      <w:r>
        <w:t xml:space="preserve">Vries, S. W. de, Mardaljevic, J. &amp; Duijnhoven, J. van.</w:t>
      </w:r>
      <w:r>
        <w:t xml:space="preserve"> </w:t>
      </w:r>
      <w:hyperlink r:id="rId104">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05"/>
    <w:bookmarkStart w:id="107" w:name="ref-gibaldi2024"/>
    <w:p>
      <w:pPr>
        <w:pStyle w:val="Bibliography"/>
      </w:pPr>
      <w:r>
        <w:t xml:space="preserve">33.</w:t>
      </w:r>
      <w:r>
        <w:t xml:space="preserve"> </w:t>
      </w:r>
      <w:r>
        <w:t xml:space="preserve">	</w:t>
      </w:r>
      <w:r>
        <w:t xml:space="preserve">Gibaldi, A., Harb, E. N., Wildsoet, C. F. &amp; Banks, M. S.</w:t>
      </w:r>
      <w:r>
        <w:t xml:space="preserve"> </w:t>
      </w:r>
      <w:hyperlink r:id="rId106">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07"/>
    <w:bookmarkStart w:id="109" w:name="ref-zauner2026placementpreprint"/>
    <w:p>
      <w:pPr>
        <w:pStyle w:val="Bibliography"/>
      </w:pPr>
      <w:r>
        <w:t xml:space="preserve">34.</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08">
        <w:r>
          <w:rPr>
            <w:rStyle w:val="Hyperlink"/>
          </w:rPr>
          <w:t xml:space="preserve">https://doi.org/10.64898/2026.07.28.741277</w:t>
        </w:r>
      </w:hyperlink>
      <w:r>
        <w:t xml:space="preserve"> </w:t>
      </w:r>
      <w:r>
        <w:t xml:space="preserve">(2026) doi:</w:t>
      </w:r>
      <w:hyperlink r:id="rId108">
        <w:r>
          <w:rPr>
            <w:rStyle w:val="Hyperlink"/>
          </w:rPr>
          <w:t xml:space="preserve">10.64898/2026.07.28.741277</w:t>
        </w:r>
      </w:hyperlink>
      <w:r>
        <w:t xml:space="preserve">.</w:t>
      </w:r>
    </w:p>
    <w:bookmarkEnd w:id="109"/>
    <w:bookmarkStart w:id="111" w:name="ref-spitschan2024"/>
    <w:p>
      <w:pPr>
        <w:pStyle w:val="Bibliography"/>
      </w:pPr>
      <w:r>
        <w:t xml:space="preserve">35.</w:t>
      </w:r>
      <w:r>
        <w:t xml:space="preserve"> </w:t>
      </w:r>
      <w:r>
        <w:t xml:space="preserve">	</w:t>
      </w:r>
      <w:r>
        <w:t xml:space="preserve">Spitschan, M.</w:t>
      </w:r>
      <w:r>
        <w:t xml:space="preserve"> </w:t>
      </w:r>
      <w:r>
        <w:rPr>
          <w:i/>
          <w:iCs/>
        </w:rPr>
        <w:t xml:space="preserve">et al.</w:t>
      </w:r>
      <w:r>
        <w:t xml:space="preserve"> </w:t>
      </w:r>
      <w:hyperlink r:id="rId110">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11"/>
    <w:bookmarkStart w:id="113" w:name="ref-guidolin2024"/>
    <w:p>
      <w:pPr>
        <w:pStyle w:val="Bibliography"/>
      </w:pPr>
      <w:r>
        <w:t xml:space="preserve">36.</w:t>
      </w:r>
      <w:r>
        <w:t xml:space="preserve"> </w:t>
      </w:r>
      <w:r>
        <w:t xml:space="preserve">	</w:t>
      </w:r>
      <w:r>
        <w:t xml:space="preserve">Guidolin, C.</w:t>
      </w:r>
      <w:r>
        <w:t xml:space="preserve"> </w:t>
      </w:r>
      <w:r>
        <w:rPr>
          <w:i/>
          <w:iCs/>
        </w:rPr>
        <w:t xml:space="preserve">et al.</w:t>
      </w:r>
      <w:r>
        <w:t xml:space="preserve"> </w:t>
      </w:r>
      <w:hyperlink r:id="rId112">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13"/>
    <w:bookmarkStart w:id="115" w:name="ref-roenneberg2019"/>
    <w:p>
      <w:pPr>
        <w:pStyle w:val="Bibliography"/>
      </w:pPr>
      <w:r>
        <w:t xml:space="preserve">37.</w:t>
      </w:r>
      <w:r>
        <w:t xml:space="preserve"> </w:t>
      </w:r>
      <w:r>
        <w:t xml:space="preserve">	</w:t>
      </w:r>
      <w:r>
        <w:t xml:space="preserve">Roenneberg, T., Pilz, L. K., Zerbini, G. &amp; Winnebeck, E. C.</w:t>
      </w:r>
      <w:r>
        <w:t xml:space="preserve"> </w:t>
      </w:r>
      <w:hyperlink r:id="rId114">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15"/>
    <w:bookmarkStart w:id="117" w:name="ref-tortello2023"/>
    <w:p>
      <w:pPr>
        <w:pStyle w:val="Bibliography"/>
      </w:pPr>
      <w:r>
        <w:t xml:space="preserve">38.</w:t>
      </w:r>
      <w:r>
        <w:t xml:space="preserve"> </w:t>
      </w:r>
      <w:r>
        <w:t xml:space="preserve">	</w:t>
      </w:r>
      <w:r>
        <w:t xml:space="preserve">Tortello, C.</w:t>
      </w:r>
      <w:r>
        <w:t xml:space="preserve"> </w:t>
      </w:r>
      <w:r>
        <w:rPr>
          <w:i/>
          <w:iCs/>
        </w:rPr>
        <w:t xml:space="preserve">et al.</w:t>
      </w:r>
      <w:r>
        <w:t xml:space="preserve"> </w:t>
      </w:r>
      <w:hyperlink r:id="rId116">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17"/>
    <w:bookmarkStart w:id="119" w:name="ref-bonatto2024"/>
    <w:p>
      <w:pPr>
        <w:pStyle w:val="Bibliography"/>
      </w:pPr>
      <w:r>
        <w:t xml:space="preserve">39.</w:t>
      </w:r>
      <w:r>
        <w:t xml:space="preserve"> </w:t>
      </w:r>
      <w:r>
        <w:t xml:space="preserve">	</w:t>
      </w:r>
      <w:r>
        <w:t xml:space="preserve">Bonatto, F. S.</w:t>
      </w:r>
      <w:r>
        <w:t xml:space="preserve"> </w:t>
      </w:r>
      <w:r>
        <w:rPr>
          <w:i/>
          <w:iCs/>
        </w:rPr>
        <w:t xml:space="preserve">et al.</w:t>
      </w:r>
      <w:r>
        <w:t xml:space="preserve"> </w:t>
      </w:r>
      <w:hyperlink r:id="rId118">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19"/>
    <w:bookmarkStart w:id="121" w:name="ref-dacostalopes2024"/>
    <w:p>
      <w:pPr>
        <w:pStyle w:val="Bibliography"/>
      </w:pPr>
      <w:r>
        <w:t xml:space="preserve">40.</w:t>
      </w:r>
      <w:r>
        <w:t xml:space="preserve"> </w:t>
      </w:r>
      <w:r>
        <w:t xml:space="preserve">	</w:t>
      </w:r>
      <w:r>
        <w:t xml:space="preserve">Costa Lopes, L. da, Ribeiro da Silva Vallim, J., Tufik, S., Louzada, F. &amp; D’Almeida, V.</w:t>
      </w:r>
      <w:r>
        <w:t xml:space="preserve"> </w:t>
      </w:r>
      <w:hyperlink r:id="rId120">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21"/>
    <w:bookmarkStart w:id="123" w:name="ref-stefani2024"/>
    <w:p>
      <w:pPr>
        <w:pStyle w:val="Bibliography"/>
      </w:pPr>
      <w:r>
        <w:t xml:space="preserve">41.</w:t>
      </w:r>
      <w:r>
        <w:t xml:space="preserve"> </w:t>
      </w:r>
      <w:r>
        <w:t xml:space="preserve">	</w:t>
      </w:r>
      <w:r>
        <w:t xml:space="preserve">Stefani, O.</w:t>
      </w:r>
      <w:r>
        <w:t xml:space="preserve"> </w:t>
      </w:r>
      <w:r>
        <w:rPr>
          <w:i/>
          <w:iCs/>
        </w:rPr>
        <w:t xml:space="preserve">et al.</w:t>
      </w:r>
      <w:r>
        <w:t xml:space="preserve"> </w:t>
      </w:r>
      <w:hyperlink r:id="rId122">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23"/>
    <w:bookmarkStart w:id="125" w:name="ref-zauner2025"/>
    <w:p>
      <w:pPr>
        <w:pStyle w:val="Bibliography"/>
      </w:pPr>
      <w:r>
        <w:t xml:space="preserve">42.</w:t>
      </w:r>
      <w:r>
        <w:t xml:space="preserve"> </w:t>
      </w:r>
      <w:r>
        <w:t xml:space="preserve">	</w:t>
      </w:r>
      <w:r>
        <w:t xml:space="preserve">Zauner, J., Biller, A. M. &amp; Spitschan, M.</w:t>
      </w:r>
      <w:r>
        <w:t xml:space="preserve"> </w:t>
      </w:r>
      <w:hyperlink r:id="rId124">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25"/>
    <w:bookmarkStart w:id="127" w:name="ref-zauner2026"/>
    <w:p>
      <w:pPr>
        <w:pStyle w:val="Bibliography"/>
      </w:pPr>
      <w:r>
        <w:t xml:space="preserve">43.</w:t>
      </w:r>
      <w:r>
        <w:t xml:space="preserve"> </w:t>
      </w:r>
      <w:r>
        <w:t xml:space="preserve">	</w:t>
      </w:r>
      <w:r>
        <w:t xml:space="preserve">Zauner, J.</w:t>
      </w:r>
      <w:r>
        <w:t xml:space="preserve"> </w:t>
      </w:r>
      <w:r>
        <w:rPr>
          <w:i/>
          <w:iCs/>
        </w:rPr>
        <w:t xml:space="preserve">et al.</w:t>
      </w:r>
      <w:r>
        <w:t xml:space="preserve"> </w:t>
      </w:r>
      <w:hyperlink r:id="rId126">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walde2023"/>
    <w:p>
      <w:pPr>
        <w:pStyle w:val="Bibliography"/>
      </w:pPr>
      <w:r>
        <w:t xml:space="preserve">44.</w:t>
      </w:r>
      <w:r>
        <w:t xml:space="preserve"> </w:t>
      </w:r>
      <w:r>
        <w:t xml:space="preserve">	</w:t>
      </w:r>
      <w:r>
        <w:t xml:space="preserve">Walde, P. &amp; Völlm, B. A.</w:t>
      </w:r>
      <w:r>
        <w:t xml:space="preserve"> </w:t>
      </w:r>
      <w:hyperlink r:id="rId128">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29"/>
    <w:bookmarkStart w:id="131" w:name="ref-zauner2024"/>
    <w:p>
      <w:pPr>
        <w:pStyle w:val="Bibliography"/>
      </w:pPr>
      <w:r>
        <w:t xml:space="preserve">45.</w:t>
      </w:r>
      <w:r>
        <w:t xml:space="preserve"> </w:t>
      </w:r>
      <w:r>
        <w:t xml:space="preserve">	</w:t>
      </w:r>
      <w:r>
        <w:t xml:space="preserve">Zauner, J., Udovicic, L. &amp; Spitschan, M.</w:t>
      </w:r>
      <w:r>
        <w:t xml:space="preserve"> </w:t>
      </w:r>
      <w:hyperlink r:id="rId130">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31"/>
    <w:bookmarkStart w:id="133" w:name="ref-ishihara2025"/>
    <w:p>
      <w:pPr>
        <w:pStyle w:val="Bibliography"/>
      </w:pPr>
      <w:r>
        <w:t xml:space="preserve">46.</w:t>
      </w:r>
      <w:r>
        <w:t xml:space="preserve"> </w:t>
      </w:r>
      <w:r>
        <w:t xml:space="preserve">	</w:t>
      </w:r>
      <w:r>
        <w:t xml:space="preserve">Ishihara, A.</w:t>
      </w:r>
      <w:r>
        <w:t xml:space="preserve"> </w:t>
      </w:r>
      <w:r>
        <w:rPr>
          <w:i/>
          <w:iCs/>
        </w:rPr>
        <w:t xml:space="preserve">et al.</w:t>
      </w:r>
      <w:r>
        <w:t xml:space="preserve"> </w:t>
      </w:r>
      <w:hyperlink r:id="rId13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33"/>
    <w:bookmarkStart w:id="135" w:name="ref-guidolin2026"/>
    <w:p>
      <w:pPr>
        <w:pStyle w:val="Bibliography"/>
      </w:pPr>
      <w:r>
        <w:t xml:space="preserve">47.</w:t>
      </w:r>
      <w:r>
        <w:t xml:space="preserve"> </w:t>
      </w:r>
      <w:r>
        <w:t xml:space="preserve">	</w:t>
      </w:r>
      <w:r>
        <w:t xml:space="preserve">Guidolin, C., Zauner, J., Hartmeyer, S. L. &amp; Spitschan, M.</w:t>
      </w:r>
      <w:r>
        <w:t xml:space="preserve"> </w:t>
      </w:r>
      <w:hyperlink r:id="rId13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35"/>
    <w:bookmarkStart w:id="137" w:name="ref-Carney2012"/>
    <w:p>
      <w:pPr>
        <w:pStyle w:val="Bibliography"/>
      </w:pPr>
      <w:r>
        <w:t xml:space="preserve">48.</w:t>
      </w:r>
      <w:r>
        <w:t xml:space="preserve"> </w:t>
      </w:r>
      <w:r>
        <w:t xml:space="preserve">	</w:t>
      </w:r>
      <w:r>
        <w:t xml:space="preserve">Carney, C. E.</w:t>
      </w:r>
      <w:r>
        <w:t xml:space="preserve"> </w:t>
      </w:r>
      <w:r>
        <w:rPr>
          <w:i/>
          <w:iCs/>
        </w:rPr>
        <w:t xml:space="preserve">et al.</w:t>
      </w:r>
      <w:r>
        <w:t xml:space="preserve"> </w:t>
      </w:r>
      <w:hyperlink r:id="rId13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37"/>
    <w:bookmarkStart w:id="139" w:name="ref-kaida2006"/>
    <w:p>
      <w:pPr>
        <w:pStyle w:val="Bibliography"/>
      </w:pPr>
      <w:r>
        <w:t xml:space="preserve">49.</w:t>
      </w:r>
      <w:r>
        <w:t xml:space="preserve"> </w:t>
      </w:r>
      <w:r>
        <w:t xml:space="preserve">	</w:t>
      </w:r>
      <w:r>
        <w:t xml:space="preserve">Kaida, K.</w:t>
      </w:r>
      <w:r>
        <w:t xml:space="preserve"> </w:t>
      </w:r>
      <w:r>
        <w:rPr>
          <w:i/>
          <w:iCs/>
        </w:rPr>
        <w:t xml:space="preserve">et al.</w:t>
      </w:r>
      <w:r>
        <w:t xml:space="preserve"> </w:t>
      </w:r>
      <w:hyperlink r:id="rId13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39"/>
    <w:bookmarkStart w:id="141" w:name="ref-tsanas2016"/>
    <w:p>
      <w:pPr>
        <w:pStyle w:val="Bibliography"/>
      </w:pPr>
      <w:r>
        <w:t xml:space="preserve">50.</w:t>
      </w:r>
      <w:r>
        <w:t xml:space="preserve"> </w:t>
      </w:r>
      <w:r>
        <w:t xml:space="preserve">	</w:t>
      </w:r>
      <w:r>
        <w:t xml:space="preserve">Tsanas, A.</w:t>
      </w:r>
      <w:r>
        <w:t xml:space="preserve"> </w:t>
      </w:r>
      <w:r>
        <w:rPr>
          <w:i/>
          <w:iCs/>
        </w:rPr>
        <w:t xml:space="preserve">et al.</w:t>
      </w:r>
      <w:r>
        <w:t xml:space="preserve"> </w:t>
      </w:r>
      <w:hyperlink r:id="rId14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41"/>
    <w:bookmarkStart w:id="143" w:name="ref-sischka2020"/>
    <w:p>
      <w:pPr>
        <w:pStyle w:val="Bibliography"/>
      </w:pPr>
      <w:r>
        <w:t xml:space="preserve">51.</w:t>
      </w:r>
      <w:r>
        <w:t xml:space="preserve"> </w:t>
      </w:r>
      <w:r>
        <w:t xml:space="preserve">	</w:t>
      </w:r>
      <w:r>
        <w:t xml:space="preserve">Sischka, P. E., Costa, A. P., Steffgen, G. &amp; Schmidt, A. F.</w:t>
      </w:r>
      <w:r>
        <w:t xml:space="preserve"> </w:t>
      </w:r>
      <w:hyperlink r:id="rId14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43"/>
    <w:bookmarkStart w:id="145" w:name="ref-harris2022"/>
    <w:p>
      <w:pPr>
        <w:pStyle w:val="Bibliography"/>
      </w:pPr>
      <w:r>
        <w:t xml:space="preserve">52.</w:t>
      </w:r>
      <w:r>
        <w:t xml:space="preserve"> </w:t>
      </w:r>
      <w:r>
        <w:t xml:space="preserve">	</w:t>
      </w:r>
      <w:r>
        <w:t xml:space="preserve">Harris, P. A.</w:t>
      </w:r>
      <w:r>
        <w:t xml:space="preserve"> </w:t>
      </w:r>
      <w:r>
        <w:rPr>
          <w:i/>
          <w:iCs/>
        </w:rPr>
        <w:t xml:space="preserve">et al.</w:t>
      </w:r>
      <w:r>
        <w:t xml:space="preserve"> </w:t>
      </w:r>
      <w:hyperlink r:id="rId14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45"/>
    <w:bookmarkStart w:id="147" w:name="ref-patridge2018"/>
    <w:p>
      <w:pPr>
        <w:pStyle w:val="Bibliography"/>
      </w:pPr>
      <w:r>
        <w:t xml:space="preserve">53.</w:t>
      </w:r>
      <w:r>
        <w:t xml:space="preserve"> </w:t>
      </w:r>
      <w:r>
        <w:t xml:space="preserve">	</w:t>
      </w:r>
      <w:r>
        <w:t xml:space="preserve">Patridge, E. F. &amp; Bardyn, T. P.</w:t>
      </w:r>
      <w:r>
        <w:t xml:space="preserve"> </w:t>
      </w:r>
      <w:hyperlink r:id="rId14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47"/>
    <w:bookmarkStart w:id="149" w:name="ref-Bajaj2011"/>
    <w:p>
      <w:pPr>
        <w:pStyle w:val="Bibliography"/>
      </w:pPr>
      <w:r>
        <w:t xml:space="preserve">54.</w:t>
      </w:r>
      <w:r>
        <w:t xml:space="preserve"> </w:t>
      </w:r>
      <w:r>
        <w:t xml:space="preserve">	</w:t>
      </w:r>
      <w:r>
        <w:t xml:space="preserve">Bajaj, A., Rosner, B., Lockley, S. W. &amp; Schernhammer, E. S.</w:t>
      </w:r>
      <w:r>
        <w:t xml:space="preserve"> </w:t>
      </w:r>
      <w:hyperlink r:id="rId14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49"/>
    <w:bookmarkStart w:id="151" w:name="ref-kantermann2015"/>
    <w:p>
      <w:pPr>
        <w:pStyle w:val="Bibliography"/>
      </w:pPr>
      <w:r>
        <w:t xml:space="preserve">55.</w:t>
      </w:r>
      <w:r>
        <w:t xml:space="preserve"> </w:t>
      </w:r>
      <w:r>
        <w:t xml:space="preserve">	</w:t>
      </w:r>
      <w:r>
        <w:t xml:space="preserve">Kantermann, T., Sung, H. &amp; Burgess, H. J.</w:t>
      </w:r>
      <w:r>
        <w:t xml:space="preserve"> </w:t>
      </w:r>
      <w:hyperlink r:id="rId15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51"/>
    <w:bookmarkStart w:id="153" w:name="ref-horne1976"/>
    <w:p>
      <w:pPr>
        <w:pStyle w:val="Bibliography"/>
      </w:pPr>
      <w:r>
        <w:t xml:space="preserve">56.</w:t>
      </w:r>
      <w:r>
        <w:t xml:space="preserve"> </w:t>
      </w:r>
      <w:r>
        <w:t xml:space="preserve">	</w:t>
      </w:r>
      <w:r>
        <w:t xml:space="preserve">Horne, J. A. &amp; Östberg, O.</w:t>
      </w:r>
      <w:r>
        <w:t xml:space="preserve"> </w:t>
      </w:r>
      <w:hyperlink r:id="rId15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53"/>
    <w:bookmarkStart w:id="155" w:name="ref-verriotto2017"/>
    <w:p>
      <w:pPr>
        <w:pStyle w:val="Bibliography"/>
      </w:pPr>
      <w:r>
        <w:t xml:space="preserve">57.</w:t>
      </w:r>
      <w:r>
        <w:t xml:space="preserve"> </w:t>
      </w:r>
      <w:r>
        <w:t xml:space="preserve">	</w:t>
      </w:r>
      <w:r>
        <w:t xml:space="preserve">Verriotto, J. D.</w:t>
      </w:r>
      <w:r>
        <w:t xml:space="preserve"> </w:t>
      </w:r>
      <w:r>
        <w:rPr>
          <w:i/>
          <w:iCs/>
        </w:rPr>
        <w:t xml:space="preserve">et al.</w:t>
      </w:r>
      <w:r>
        <w:t xml:space="preserve"> </w:t>
      </w:r>
      <w:hyperlink r:id="rId15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55"/>
    <w:bookmarkStart w:id="157" w:name="ref-grandner2022"/>
    <w:p>
      <w:pPr>
        <w:pStyle w:val="Bibliography"/>
      </w:pPr>
      <w:r>
        <w:t xml:space="preserve">58.</w:t>
      </w:r>
      <w:r>
        <w:t xml:space="preserve"> </w:t>
      </w:r>
      <w:r>
        <w:t xml:space="preserve">	</w:t>
      </w:r>
      <w:r>
        <w:t xml:space="preserve">Grandner, M. A.</w:t>
      </w:r>
      <w:r>
        <w:t xml:space="preserve"> </w:t>
      </w:r>
      <w:r>
        <w:rPr>
          <w:i/>
          <w:iCs/>
        </w:rPr>
        <w:t xml:space="preserve">et al.</w:t>
      </w:r>
      <w:r>
        <w:t xml:space="preserve"> </w:t>
      </w:r>
      <w:hyperlink r:id="rId15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57"/>
    <w:bookmarkStart w:id="159" w:name="ref-siraji2023"/>
    <w:p>
      <w:pPr>
        <w:pStyle w:val="Bibliography"/>
      </w:pPr>
      <w:r>
        <w:t xml:space="preserve">59.</w:t>
      </w:r>
      <w:r>
        <w:t xml:space="preserve"> </w:t>
      </w:r>
      <w:r>
        <w:t xml:space="preserve">	</w:t>
      </w:r>
      <w:r>
        <w:t xml:space="preserve">Siraji, M. A.</w:t>
      </w:r>
      <w:r>
        <w:t xml:space="preserve"> </w:t>
      </w:r>
      <w:r>
        <w:rPr>
          <w:i/>
          <w:iCs/>
        </w:rPr>
        <w:t xml:space="preserve">et al.</w:t>
      </w:r>
      <w:r>
        <w:t xml:space="preserve"> </w:t>
      </w:r>
      <w:hyperlink r:id="rId15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59"/>
    <w:bookmarkStart w:id="161" w:name="ref-base"/>
    <w:p>
      <w:pPr>
        <w:pStyle w:val="Bibliography"/>
      </w:pPr>
      <w:r>
        <w:t xml:space="preserve">60.</w:t>
      </w:r>
      <w:r>
        <w:t xml:space="preserve"> </w:t>
      </w:r>
      <w:r>
        <w:t xml:space="preserve">	</w:t>
      </w:r>
      <w:r>
        <w:t xml:space="preserve">R Core Team. R: A language and environment for statistical computing.</w:t>
      </w:r>
      <w:r>
        <w:t xml:space="preserve"> </w:t>
      </w:r>
      <w:hyperlink r:id="rId160">
        <w:r>
          <w:rPr>
            <w:rStyle w:val="Hyperlink"/>
          </w:rPr>
          <w:t xml:space="preserve">https://www.R-project.org/</w:t>
        </w:r>
      </w:hyperlink>
      <w:r>
        <w:t xml:space="preserve"> </w:t>
      </w:r>
      <w:r>
        <w:t xml:space="preserve">(2025).</w:t>
      </w:r>
    </w:p>
    <w:bookmarkEnd w:id="161"/>
    <w:bookmarkStart w:id="163" w:name="ref-LightLogR"/>
    <w:p>
      <w:pPr>
        <w:pStyle w:val="Bibliography"/>
      </w:pPr>
      <w:r>
        <w:t xml:space="preserve">61.</w:t>
      </w:r>
      <w:r>
        <w:t xml:space="preserve"> </w:t>
      </w:r>
      <w:r>
        <w:t xml:space="preserve">	</w:t>
      </w:r>
      <w:r>
        <w:t xml:space="preserve">Zauner, J., Hartmeyer, S. &amp; Spitschan, M.</w:t>
      </w:r>
      <w:r>
        <w:t xml:space="preserve"> </w:t>
      </w:r>
      <w:hyperlink r:id="rId16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63"/>
    <w:bookmarkStart w:id="165" w:name="ref-hartmeyer2023"/>
    <w:p>
      <w:pPr>
        <w:pStyle w:val="Bibliography"/>
      </w:pPr>
      <w:r>
        <w:t xml:space="preserve">62.</w:t>
      </w:r>
      <w:r>
        <w:t xml:space="preserve"> </w:t>
      </w:r>
      <w:r>
        <w:t xml:space="preserve">	</w:t>
      </w:r>
      <w:r>
        <w:t xml:space="preserve">Hartmeyer, S. &amp; Andersen, M.</w:t>
      </w:r>
      <w:r>
        <w:t xml:space="preserve"> </w:t>
      </w:r>
      <w:hyperlink r:id="rId16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65"/>
    <w:bookmarkStart w:id="167" w:name="ref-zauner2025a"/>
    <w:p>
      <w:pPr>
        <w:pStyle w:val="Bibliography"/>
      </w:pPr>
      <w:r>
        <w:t xml:space="preserve">63.</w:t>
      </w:r>
      <w:r>
        <w:t xml:space="preserve"> </w:t>
      </w:r>
      <w:r>
        <w:t xml:space="preserve">	</w:t>
      </w:r>
      <w:r>
        <w:t xml:space="preserve">Zauner, J., Guidolin, C. &amp; Spitschan, M.</w:t>
      </w:r>
      <w:r>
        <w:t xml:space="preserve"> </w:t>
      </w:r>
      <w:hyperlink r:id="rId16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67"/>
    <w:bookmarkStart w:id="169" w:name="ref-hastie1986"/>
    <w:p>
      <w:pPr>
        <w:pStyle w:val="Bibliography"/>
      </w:pPr>
      <w:r>
        <w:t xml:space="preserve">64.</w:t>
      </w:r>
      <w:r>
        <w:t xml:space="preserve"> </w:t>
      </w:r>
      <w:r>
        <w:t xml:space="preserve">	</w:t>
      </w:r>
      <w:r>
        <w:t xml:space="preserve">Hastie, T. &amp; Tibshirani, R.</w:t>
      </w:r>
      <w:r>
        <w:t xml:space="preserve"> </w:t>
      </w:r>
      <w:hyperlink r:id="rId16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69"/>
    <w:bookmarkStart w:id="171" w:name="ref-hastie1995"/>
    <w:p>
      <w:pPr>
        <w:pStyle w:val="Bibliography"/>
      </w:pPr>
      <w:r>
        <w:t xml:space="preserve">65.</w:t>
      </w:r>
      <w:r>
        <w:t xml:space="preserve"> </w:t>
      </w:r>
      <w:r>
        <w:t xml:space="preserve">	</w:t>
      </w:r>
      <w:r>
        <w:t xml:space="preserve">Hastie, T. &amp; Tibshirani, R.</w:t>
      </w:r>
      <w:r>
        <w:t xml:space="preserve"> </w:t>
      </w:r>
      <w:hyperlink r:id="rId17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71"/>
    <w:bookmarkStart w:id="173" w:name="ref-mgcv"/>
    <w:p>
      <w:pPr>
        <w:pStyle w:val="Bibliography"/>
      </w:pPr>
      <w:r>
        <w:t xml:space="preserve">66.</w:t>
      </w:r>
      <w:r>
        <w:t xml:space="preserve"> </w:t>
      </w:r>
      <w:r>
        <w:t xml:space="preserve">	</w:t>
      </w:r>
      <w:r>
        <w:t xml:space="preserve">Wood, S. N.</w:t>
      </w:r>
      <w:r>
        <w:t xml:space="preserve"> </w:t>
      </w:r>
      <w:hyperlink r:id="rId17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73"/>
    <w:bookmarkStart w:id="175" w:name="ref-pedersen2019"/>
    <w:p>
      <w:pPr>
        <w:pStyle w:val="Bibliography"/>
      </w:pPr>
      <w:r>
        <w:t xml:space="preserve">67.</w:t>
      </w:r>
      <w:r>
        <w:t xml:space="preserve"> </w:t>
      </w:r>
      <w:r>
        <w:t xml:space="preserve">	</w:t>
      </w:r>
      <w:r>
        <w:t xml:space="preserve">Pedersen, E. J., Miller, D. L., Simpson, G. L. &amp; Ross, N.</w:t>
      </w:r>
      <w:r>
        <w:t xml:space="preserve"> </w:t>
      </w:r>
      <w:hyperlink r:id="rId17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75"/>
    <w:bookmarkStart w:id="177" w:name="ref-azen2003"/>
    <w:p>
      <w:pPr>
        <w:pStyle w:val="Bibliography"/>
      </w:pPr>
      <w:r>
        <w:t xml:space="preserve">68.</w:t>
      </w:r>
      <w:r>
        <w:t xml:space="preserve"> </w:t>
      </w:r>
      <w:r>
        <w:t xml:space="preserve">	</w:t>
      </w:r>
      <w:r>
        <w:t xml:space="preserve">Azen, R. &amp; Budescu, D. V.</w:t>
      </w:r>
      <w:r>
        <w:t xml:space="preserve"> </w:t>
      </w:r>
      <w:hyperlink r:id="rId17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177"/>
    <w:bookmarkStart w:id="179" w:name="ref-groemping2007"/>
    <w:p>
      <w:pPr>
        <w:pStyle w:val="Bibliography"/>
      </w:pPr>
      <w:r>
        <w:t xml:space="preserve">69.</w:t>
      </w:r>
      <w:r>
        <w:t xml:space="preserve"> </w:t>
      </w:r>
      <w:r>
        <w:t xml:space="preserve">	</w:t>
      </w:r>
      <w:r>
        <w:t xml:space="preserve">Grömping, U.</w:t>
      </w:r>
      <w:r>
        <w:t xml:space="preserve"> </w:t>
      </w:r>
      <w:hyperlink r:id="rId17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179"/>
    <w:bookmarkStart w:id="181" w:name="ref-jorgensen1987"/>
    <w:p>
      <w:pPr>
        <w:pStyle w:val="Bibliography"/>
      </w:pPr>
      <w:r>
        <w:t xml:space="preserve">70.</w:t>
      </w:r>
      <w:r>
        <w:t xml:space="preserve"> </w:t>
      </w:r>
      <w:r>
        <w:t xml:space="preserve">	</w:t>
      </w:r>
      <w:r>
        <w:t xml:space="preserve">Jørgensen, B.</w:t>
      </w:r>
      <w:r>
        <w:t xml:space="preserve"> </w:t>
      </w:r>
      <w:hyperlink r:id="rId18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181"/>
    <w:bookmarkStart w:id="183" w:name="ref-dunn2005"/>
    <w:p>
      <w:pPr>
        <w:pStyle w:val="Bibliography"/>
      </w:pPr>
      <w:r>
        <w:t xml:space="preserve">71.</w:t>
      </w:r>
      <w:r>
        <w:t xml:space="preserve"> </w:t>
      </w:r>
      <w:r>
        <w:t xml:space="preserve">	</w:t>
      </w:r>
      <w:r>
        <w:t xml:space="preserve">Dunn, P. K. &amp; Smyth, G. K.</w:t>
      </w:r>
      <w:r>
        <w:t xml:space="preserve"> </w:t>
      </w:r>
      <w:hyperlink r:id="rId18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183"/>
    <w:bookmarkStart w:id="185" w:name="ref-lme4"/>
    <w:p>
      <w:pPr>
        <w:pStyle w:val="Bibliography"/>
      </w:pPr>
      <w:r>
        <w:t xml:space="preserve">72.</w:t>
      </w:r>
      <w:r>
        <w:t xml:space="preserve"> </w:t>
      </w:r>
      <w:r>
        <w:t xml:space="preserve">	</w:t>
      </w:r>
      <w:r>
        <w:t xml:space="preserve">Bates, D., Mächler, M., Bolker, B. &amp; Walker, S.</w:t>
      </w:r>
      <w:r>
        <w:t xml:space="preserve"> </w:t>
      </w:r>
      <w:hyperlink r:id="rId18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185"/>
    <w:bookmarkStart w:id="187" w:name="ref-glmmTMB"/>
    <w:p>
      <w:pPr>
        <w:pStyle w:val="Bibliography"/>
      </w:pPr>
      <w:r>
        <w:t xml:space="preserve">73.</w:t>
      </w:r>
      <w:r>
        <w:t xml:space="preserve"> </w:t>
      </w:r>
      <w:r>
        <w:t xml:space="preserve">	</w:t>
      </w:r>
      <w:r>
        <w:t xml:space="preserve">Brooks, M. E.</w:t>
      </w:r>
      <w:r>
        <w:t xml:space="preserve"> </w:t>
      </w:r>
      <w:r>
        <w:rPr>
          <w:i/>
          <w:iCs/>
        </w:rPr>
        <w:t xml:space="preserve">et al.</w:t>
      </w:r>
      <w:r>
        <w:t xml:space="preserve"> </w:t>
      </w:r>
      <w:hyperlink r:id="rId18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187"/>
    <w:bookmarkStart w:id="189" w:name="ref-performance"/>
    <w:p>
      <w:pPr>
        <w:pStyle w:val="Bibliography"/>
      </w:pPr>
      <w:r>
        <w:t xml:space="preserve">74.</w:t>
      </w:r>
      <w:r>
        <w:t xml:space="preserve"> </w:t>
      </w:r>
      <w:r>
        <w:t xml:space="preserve">	</w:t>
      </w:r>
      <w:r>
        <w:t xml:space="preserve">Lüdecke, D., Ben-Shachar, M. S., Patil, I., Waggoner, P. &amp; Makowski, D.</w:t>
      </w:r>
      <w:r>
        <w:t xml:space="preserve"> </w:t>
      </w:r>
      <w:hyperlink r:id="rId18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189"/>
    <w:bookmarkStart w:id="191" w:name="ref-emmeans"/>
    <w:p>
      <w:pPr>
        <w:pStyle w:val="Bibliography"/>
      </w:pPr>
      <w:r>
        <w:t xml:space="preserve">75.</w:t>
      </w:r>
      <w:r>
        <w:t xml:space="preserve"> </w:t>
      </w:r>
      <w:r>
        <w:t xml:space="preserve">	</w:t>
      </w:r>
      <w:r>
        <w:t xml:space="preserve">Lenth, R. V. &amp; Piaskowski, J. Emmeans: Estimated marginal means, aka least-squares means.</w:t>
      </w:r>
      <w:r>
        <w:t xml:space="preserve"> </w:t>
      </w:r>
      <w:hyperlink r:id="rId190">
        <w:r>
          <w:rPr>
            <w:rStyle w:val="Hyperlink"/>
          </w:rPr>
          <w:t xml:space="preserve">https://doi.org/10.32614/CRAN.package.emmeans</w:t>
        </w:r>
      </w:hyperlink>
      <w:r>
        <w:t xml:space="preserve"> </w:t>
      </w:r>
      <w:r>
        <w:t xml:space="preserve">(2026) doi:</w:t>
      </w:r>
      <w:hyperlink r:id="rId190">
        <w:r>
          <w:rPr>
            <w:rStyle w:val="Hyperlink"/>
          </w:rPr>
          <w:t xml:space="preserve">10.32614/CRAN.package.emmeans</w:t>
        </w:r>
      </w:hyperlink>
      <w:r>
        <w:t xml:space="preserve">.</w:t>
      </w:r>
    </w:p>
    <w:bookmarkEnd w:id="191"/>
    <w:bookmarkStart w:id="193" w:name="ref-gratia"/>
    <w:p>
      <w:pPr>
        <w:pStyle w:val="Bibliography"/>
      </w:pPr>
      <w:r>
        <w:t xml:space="preserve">76.</w:t>
      </w:r>
      <w:r>
        <w:t xml:space="preserve"> </w:t>
      </w:r>
      <w:r>
        <w:t xml:space="preserve">	</w:t>
      </w:r>
      <w:r>
        <w:t xml:space="preserve">Simpson, G. L.</w:t>
      </w:r>
      <w:r>
        <w:t xml:space="preserve"> </w:t>
      </w:r>
      <w:hyperlink r:id="rId19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193"/>
    <w:bookmarkStart w:id="195" w:name="ref-benjamini1995"/>
    <w:p>
      <w:pPr>
        <w:pStyle w:val="Bibliography"/>
      </w:pPr>
      <w:r>
        <w:t xml:space="preserve">77.</w:t>
      </w:r>
      <w:r>
        <w:t xml:space="preserve"> </w:t>
      </w:r>
      <w:r>
        <w:t xml:space="preserve">	</w:t>
      </w:r>
      <w:r>
        <w:t xml:space="preserve">Benjamini, Y. &amp; Hochberg, Y.</w:t>
      </w:r>
      <w:r>
        <w:t xml:space="preserve"> </w:t>
      </w:r>
      <w:hyperlink r:id="rId19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195"/>
    <w:bookmarkStart w:id="197" w:name="ref-tidyverse"/>
    <w:p>
      <w:pPr>
        <w:pStyle w:val="Bibliography"/>
      </w:pPr>
      <w:r>
        <w:t xml:space="preserve">78.</w:t>
      </w:r>
      <w:r>
        <w:t xml:space="preserve"> </w:t>
      </w:r>
      <w:r>
        <w:t xml:space="preserve">	</w:t>
      </w:r>
      <w:r>
        <w:t xml:space="preserve">Wickham, H.</w:t>
      </w:r>
      <w:r>
        <w:t xml:space="preserve"> </w:t>
      </w:r>
      <w:r>
        <w:rPr>
          <w:i/>
          <w:iCs/>
        </w:rPr>
        <w:t xml:space="preserve">et al.</w:t>
      </w:r>
      <w:r>
        <w:t xml:space="preserve"> </w:t>
      </w:r>
      <w:hyperlink r:id="rId19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197"/>
    <w:bookmarkStart w:id="199" w:name="ref-zauner2026melidos_preregistration"/>
    <w:p>
      <w:pPr>
        <w:pStyle w:val="Bibliography"/>
      </w:pPr>
      <w:r>
        <w:t xml:space="preserve">79.</w:t>
      </w:r>
      <w:r>
        <w:t xml:space="preserve"> </w:t>
      </w:r>
      <w:r>
        <w:t xml:space="preserve">	</w:t>
      </w:r>
      <w:r>
        <w:t xml:space="preserve">Zauner, J., Didikoglu, A. &amp; Spitschan, M.</w:t>
      </w:r>
      <w:r>
        <w:t xml:space="preserve"> </w:t>
      </w:r>
      <w:hyperlink r:id="rId198">
        <w:r>
          <w:rPr>
            <w:rStyle w:val="Hyperlink"/>
          </w:rPr>
          <w:t xml:space="preserve">MeLiDos Project – Multi-country determinants of personal light exposure</w:t>
        </w:r>
      </w:hyperlink>
      <w:r>
        <w:t xml:space="preserve">. (2026).</w:t>
      </w:r>
    </w:p>
    <w:bookmarkEnd w:id="199"/>
    <w:bookmarkStart w:id="201" w:name="ref-akuffo2025"/>
    <w:p>
      <w:pPr>
        <w:pStyle w:val="Bibliography"/>
      </w:pPr>
      <w:r>
        <w:t xml:space="preserve">80.</w:t>
      </w:r>
      <w:r>
        <w:t xml:space="preserve"> </w:t>
      </w:r>
      <w:r>
        <w:t xml:space="preserve">	</w:t>
      </w:r>
      <w:r>
        <w:t xml:space="preserve">Akuffo, K. O., Agbeshie, G. K., Zauner, J. &amp; Spitschan, M. Personal light exposure dataset for kumasi, ghana.</w:t>
      </w:r>
      <w:r>
        <w:t xml:space="preserve"> </w:t>
      </w:r>
      <w:hyperlink r:id="rId200">
        <w:r>
          <w:rPr>
            <w:rStyle w:val="Hyperlink"/>
          </w:rPr>
          <w:t xml:space="preserve">https://doi.org/10.5281/ZENODO.15576731</w:t>
        </w:r>
      </w:hyperlink>
      <w:r>
        <w:t xml:space="preserve"> </w:t>
      </w:r>
      <w:r>
        <w:t xml:space="preserve">(2025) doi:</w:t>
      </w:r>
      <w:hyperlink r:id="rId200">
        <w:r>
          <w:rPr>
            <w:rStyle w:val="Hyperlink"/>
          </w:rPr>
          <w:t xml:space="preserve">10.5281/ZENODO.15576731</w:t>
        </w:r>
      </w:hyperlink>
      <w:r>
        <w:t xml:space="preserve">.</w:t>
      </w:r>
    </w:p>
    <w:bookmarkEnd w:id="201"/>
    <w:bookmarkStart w:id="203" w:name="ref-baezamoyano2025"/>
    <w:p>
      <w:pPr>
        <w:pStyle w:val="Bibliography"/>
      </w:pPr>
      <w:r>
        <w:t xml:space="preserve">81.</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02">
        <w:r>
          <w:rPr>
            <w:rStyle w:val="Hyperlink"/>
          </w:rPr>
          <w:t xml:space="preserve">https://doi.org/10.5281/ZENODO.16834951</w:t>
        </w:r>
      </w:hyperlink>
      <w:r>
        <w:t xml:space="preserve"> </w:t>
      </w:r>
      <w:r>
        <w:t xml:space="preserve">(2025) doi:</w:t>
      </w:r>
      <w:hyperlink r:id="rId202">
        <w:r>
          <w:rPr>
            <w:rStyle w:val="Hyperlink"/>
          </w:rPr>
          <w:t xml:space="preserve">10.5281/ZENODO.16834951</w:t>
        </w:r>
      </w:hyperlink>
      <w:r>
        <w:t xml:space="preserve">.</w:t>
      </w:r>
    </w:p>
    <w:bookmarkEnd w:id="203"/>
    <w:bookmarkStart w:id="205" w:name="ref-broszio2025"/>
    <w:p>
      <w:pPr>
        <w:pStyle w:val="Bibliography"/>
      </w:pPr>
      <w:r>
        <w:t xml:space="preserve">82.</w:t>
      </w:r>
      <w:r>
        <w:t xml:space="preserve"> </w:t>
      </w:r>
      <w:r>
        <w:t xml:space="preserve">	</w:t>
      </w:r>
      <w:r>
        <w:t xml:space="preserve">Broszio, K., Zauner, J. &amp; Spitschan, M. Personal light exposure dataset for dortmund, germany.</w:t>
      </w:r>
      <w:r>
        <w:t xml:space="preserve"> </w:t>
      </w:r>
      <w:hyperlink r:id="rId204">
        <w:r>
          <w:rPr>
            <w:rStyle w:val="Hyperlink"/>
          </w:rPr>
          <w:t xml:space="preserve">https://doi.org/10.5281/ZENODO.18111232</w:t>
        </w:r>
      </w:hyperlink>
      <w:r>
        <w:t xml:space="preserve"> </w:t>
      </w:r>
      <w:r>
        <w:t xml:space="preserve">(2025) doi:</w:t>
      </w:r>
      <w:hyperlink r:id="rId204">
        <w:r>
          <w:rPr>
            <w:rStyle w:val="Hyperlink"/>
          </w:rPr>
          <w:t xml:space="preserve">10.5281/ZENODO.18111232</w:t>
        </w:r>
      </w:hyperlink>
      <w:r>
        <w:t xml:space="preserve">.</w:t>
      </w:r>
    </w:p>
    <w:bookmarkEnd w:id="205"/>
    <w:bookmarkStart w:id="207" w:name="ref-didikoglu2025"/>
    <w:p>
      <w:pPr>
        <w:pStyle w:val="Bibliography"/>
      </w:pPr>
      <w:r>
        <w:t xml:space="preserve">83.</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06">
        <w:r>
          <w:rPr>
            <w:rStyle w:val="Hyperlink"/>
          </w:rPr>
          <w:t xml:space="preserve">https://doi.org/10.5281/ZENODO.16568109</w:t>
        </w:r>
      </w:hyperlink>
      <w:r>
        <w:t xml:space="preserve"> </w:t>
      </w:r>
      <w:r>
        <w:t xml:space="preserve">(2025) doi:</w:t>
      </w:r>
      <w:hyperlink r:id="rId206">
        <w:r>
          <w:rPr>
            <w:rStyle w:val="Hyperlink"/>
          </w:rPr>
          <w:t xml:space="preserve">10.5281/ZENODO.16568109</w:t>
        </w:r>
      </w:hyperlink>
      <w:r>
        <w:t xml:space="preserve">.</w:t>
      </w:r>
    </w:p>
    <w:bookmarkEnd w:id="207"/>
    <w:bookmarkStart w:id="209" w:name="ref-guidolin2025"/>
    <w:p>
      <w:pPr>
        <w:pStyle w:val="Bibliography"/>
      </w:pPr>
      <w:r>
        <w:t xml:space="preserve">84.</w:t>
      </w:r>
      <w:r>
        <w:t xml:space="preserve"> </w:t>
      </w:r>
      <w:r>
        <w:t xml:space="preserve">	</w:t>
      </w:r>
      <w:r>
        <w:t xml:space="preserve">Guidolin, C., Zauner, J. &amp; Spitschan, M. Personal light exposure dataset for tuebingen, germany.</w:t>
      </w:r>
      <w:r>
        <w:t xml:space="preserve"> </w:t>
      </w:r>
      <w:hyperlink r:id="rId208">
        <w:r>
          <w:rPr>
            <w:rStyle w:val="Hyperlink"/>
          </w:rPr>
          <w:t xml:space="preserve">https://doi.org/10.5281/ZENODO.16895188</w:t>
        </w:r>
      </w:hyperlink>
      <w:r>
        <w:t xml:space="preserve"> </w:t>
      </w:r>
      <w:r>
        <w:t xml:space="preserve">(2025) doi:</w:t>
      </w:r>
      <w:hyperlink r:id="rId208">
        <w:r>
          <w:rPr>
            <w:rStyle w:val="Hyperlink"/>
          </w:rPr>
          <w:t xml:space="preserve">10.5281/ZENODO.16895188</w:t>
        </w:r>
      </w:hyperlink>
      <w:r>
        <w:t xml:space="preserve">.</w:t>
      </w:r>
    </w:p>
    <w:bookmarkEnd w:id="209"/>
    <w:bookmarkStart w:id="211" w:name="ref-sancho-salas2026"/>
    <w:p>
      <w:pPr>
        <w:pStyle w:val="Bibliography"/>
      </w:pPr>
      <w:r>
        <w:t xml:space="preserve">85.</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10">
        <w:r>
          <w:rPr>
            <w:rStyle w:val="Hyperlink"/>
          </w:rPr>
          <w:t xml:space="preserve">https://doi.org/10.5281/ZENODO.17289456</w:t>
        </w:r>
      </w:hyperlink>
      <w:r>
        <w:t xml:space="preserve"> </w:t>
      </w:r>
      <w:r>
        <w:t xml:space="preserve">(2026) doi:</w:t>
      </w:r>
      <w:hyperlink r:id="rId210">
        <w:r>
          <w:rPr>
            <w:rStyle w:val="Hyperlink"/>
          </w:rPr>
          <w:t xml:space="preserve">10.5281/ZENODO.17289456</w:t>
        </w:r>
      </w:hyperlink>
      <w:r>
        <w:t xml:space="preserve">.</w:t>
      </w:r>
    </w:p>
    <w:bookmarkEnd w:id="211"/>
    <w:bookmarkStart w:id="213" w:name="ref-hilden2025"/>
    <w:p>
      <w:pPr>
        <w:pStyle w:val="Bibliography"/>
      </w:pPr>
      <w:r>
        <w:t xml:space="preserve">86.</w:t>
      </w:r>
      <w:r>
        <w:t xml:space="preserve"> </w:t>
      </w:r>
      <w:r>
        <w:t xml:space="preserve">	</w:t>
      </w:r>
      <w:r>
        <w:t xml:space="preserve">Hilden, S., Lee, S., Zauner, J. &amp; Spitschan, M. Personal light exposure dataset for munich, germany.</w:t>
      </w:r>
      <w:r>
        <w:t xml:space="preserve"> </w:t>
      </w:r>
      <w:hyperlink r:id="rId212">
        <w:r>
          <w:rPr>
            <w:rStyle w:val="Hyperlink"/>
          </w:rPr>
          <w:t xml:space="preserve">https://doi.org/10.5281/ZENODO.16893901</w:t>
        </w:r>
      </w:hyperlink>
      <w:r>
        <w:t xml:space="preserve"> </w:t>
      </w:r>
      <w:r>
        <w:t xml:space="preserve">(2025) doi:</w:t>
      </w:r>
      <w:hyperlink r:id="rId212">
        <w:r>
          <w:rPr>
            <w:rStyle w:val="Hyperlink"/>
          </w:rPr>
          <w:t xml:space="preserve">10.5281/ZENODO.16893901</w:t>
        </w:r>
      </w:hyperlink>
      <w:r>
        <w:t xml:space="preserve">.</w:t>
      </w:r>
    </w:p>
    <w:bookmarkEnd w:id="213"/>
    <w:bookmarkStart w:id="215" w:name="ref-nilssontengelin2026"/>
    <w:p>
      <w:pPr>
        <w:pStyle w:val="Bibliography"/>
      </w:pPr>
      <w:r>
        <w:t xml:space="preserve">87.</w:t>
      </w:r>
      <w:r>
        <w:t xml:space="preserve"> </w:t>
      </w:r>
      <w:r>
        <w:t xml:space="preserve">	</w:t>
      </w:r>
      <w:r>
        <w:t xml:space="preserve">Nilsson Tengelin, M., Svensson, I., Källberg, S., Zauner, J. &amp; Spitschan, M. Personal light exposure dataset for borås, sweden.</w:t>
      </w:r>
      <w:r>
        <w:t xml:space="preserve"> </w:t>
      </w:r>
      <w:hyperlink r:id="rId214">
        <w:r>
          <w:rPr>
            <w:rStyle w:val="Hyperlink"/>
          </w:rPr>
          <w:t xml:space="preserve">https://doi.org/10.5281/ZENODO.18925834</w:t>
        </w:r>
      </w:hyperlink>
      <w:r>
        <w:t xml:space="preserve"> </w:t>
      </w:r>
      <w:r>
        <w:t xml:space="preserve">(2026) doi:</w:t>
      </w:r>
      <w:hyperlink r:id="rId214">
        <w:r>
          <w:rPr>
            <w:rStyle w:val="Hyperlink"/>
          </w:rPr>
          <w:t xml:space="preserve">10.5281/ZENODO.18925834</w:t>
        </w:r>
      </w:hyperlink>
      <w:r>
        <w:t xml:space="preserve">.</w:t>
      </w:r>
    </w:p>
    <w:bookmarkEnd w:id="215"/>
    <w:bookmarkStart w:id="217" w:name="ref-aerts2025"/>
    <w:p>
      <w:pPr>
        <w:pStyle w:val="Bibliography"/>
      </w:pPr>
      <w:r>
        <w:t xml:space="preserve">88.</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16">
        <w:r>
          <w:rPr>
            <w:rStyle w:val="Hyperlink"/>
          </w:rPr>
          <w:t xml:space="preserve">https://doi.org/10.5281/ZENODO.17979893</w:t>
        </w:r>
      </w:hyperlink>
      <w:r>
        <w:t xml:space="preserve"> </w:t>
      </w:r>
      <w:r>
        <w:t xml:space="preserve">(2025) doi:</w:t>
      </w:r>
      <w:hyperlink r:id="rId216">
        <w:r>
          <w:rPr>
            <w:rStyle w:val="Hyperlink"/>
          </w:rPr>
          <w:t xml:space="preserve">10.5281/ZENODO.17979893</w:t>
        </w:r>
      </w:hyperlink>
      <w:r>
        <w:t xml:space="preserve">.</w:t>
      </w:r>
    </w:p>
    <w:bookmarkEnd w:id="217"/>
    <w:bookmarkStart w:id="219" w:name="ref-zauner2026a"/>
    <w:p>
      <w:pPr>
        <w:pStyle w:val="Bibliography"/>
      </w:pPr>
      <w:r>
        <w:t xml:space="preserve">89.</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18">
        <w:r>
          <w:rPr>
            <w:rStyle w:val="Hyperlink"/>
          </w:rPr>
          <w:t xml:space="preserve">https://doi.org/10.5281/ZENODO.19678543</w:t>
        </w:r>
      </w:hyperlink>
      <w:r>
        <w:t xml:space="preserve"> </w:t>
      </w:r>
      <w:r>
        <w:t xml:space="preserve">(2026) doi:</w:t>
      </w:r>
      <w:hyperlink r:id="rId218">
        <w:r>
          <w:rPr>
            <w:rStyle w:val="Hyperlink"/>
          </w:rPr>
          <w:t xml:space="preserve">10.5281/ZENODO.19678543</w:t>
        </w:r>
      </w:hyperlink>
      <w:r>
        <w:t xml:space="preserve">.</w:t>
      </w:r>
    </w:p>
    <w:bookmarkEnd w:id="219"/>
    <w:bookmarkStart w:id="221" w:name="ref-melidosData"/>
    <w:p>
      <w:pPr>
        <w:pStyle w:val="Bibliography"/>
      </w:pPr>
      <w:r>
        <w:t xml:space="preserve">90.</w:t>
      </w:r>
      <w:r>
        <w:t xml:space="preserve"> </w:t>
      </w:r>
      <w:r>
        <w:t xml:space="preserve">	</w:t>
      </w:r>
      <w:r>
        <w:t xml:space="preserve">Zauner, J. &amp; Spitschan, M. melidosData: Load data from the MeLiDos field study.</w:t>
      </w:r>
      <w:r>
        <w:t xml:space="preserve"> </w:t>
      </w:r>
      <w:hyperlink r:id="rId220">
        <w:r>
          <w:rPr>
            <w:rStyle w:val="Hyperlink"/>
          </w:rPr>
          <w:t xml:space="preserve">https://melidosproject.github.io/melidosData/</w:t>
        </w:r>
      </w:hyperlink>
      <w:r>
        <w:t xml:space="preserve"> </w:t>
      </w:r>
      <w:r>
        <w:t xml:space="preserve">(2026).</w:t>
      </w:r>
    </w:p>
    <w:bookmarkEnd w:id="221"/>
    <w:bookmarkEnd w:id="222"/>
    <w:bookmarkEnd w:id="223"/>
    <w:bookmarkStart w:id="224" w:name="acknowledgements"/>
    <w:p>
      <w:pPr>
        <w:pStyle w:val="Heading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24"/>
    <w:bookmarkStart w:id="225" w:name="funding"/>
    <w:p>
      <w:pPr>
        <w:pStyle w:val="Heading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25"/>
    <w:bookmarkStart w:id="226" w:name="author-contributions"/>
    <w:p>
      <w:pPr>
        <w:pStyle w:val="Heading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Methodology:</w:t>
      </w:r>
      <w:r>
        <w:t xml:space="preserve"> </w:t>
      </w:r>
      <w:r>
        <w:t xml:space="preserve">J.Z., A.D., D.B.M., M.C.P.G., R.A.G.L., M.N.T., S.M.T., O.S., G.C.G. and M.S.</w:t>
      </w:r>
    </w:p>
    <w:p>
      <w:pPr>
        <w:pStyle w:val="Compact"/>
        <w:numPr>
          <w:ilvl w:val="0"/>
          <w:numId w:val="1001"/>
        </w:numPr>
      </w:pPr>
      <w:r>
        <w:rPr>
          <w:b/>
          <w:bCs/>
        </w:rPr>
        <w:t xml:space="preserve">Study design:</w:t>
      </w:r>
      <w:r>
        <w:t xml:space="preserve"> </w:t>
      </w:r>
      <w:r>
        <w:t xml:space="preserve">J.Z., A.D., K.O.A., K.B., C.G., R.A.G.L., D.B.M., M.N.T., S.M.T., O.S. and M.S.</w:t>
      </w:r>
    </w:p>
    <w:p>
      <w:pPr>
        <w:pStyle w:val="Compact"/>
        <w:numPr>
          <w:ilvl w:val="0"/>
          <w:numId w:val="1001"/>
        </w:numPr>
      </w:pPr>
      <w:r>
        <w:rPr>
          <w:b/>
          <w:bCs/>
        </w:rPr>
        <w:t xml:space="preserve">Data collection:</w:t>
      </w:r>
      <w:r>
        <w:t xml:space="preserve"> </w:t>
      </w:r>
      <w:r>
        <w:t xml:space="preserve">A.D., G.K.A., S.A., S.G.A., S.N.A., Z.K., M.C.P.G., R.A.G.L., S.L., D.B.M., M.N.T., S.M.T., N.H., S.H., A.J., C.G., D.B., I.S., A.S.S., H.v.B., K.B., S.K. and M.S.</w:t>
      </w:r>
    </w:p>
    <w:p>
      <w:pPr>
        <w:pStyle w:val="Compact"/>
        <w:numPr>
          <w:ilvl w:val="0"/>
          <w:numId w:val="1001"/>
        </w:numPr>
      </w:pPr>
      <w:r>
        <w:rPr>
          <w:b/>
          <w:bCs/>
        </w:rPr>
        <w:t xml:space="preserve">Participant recruitment:</w:t>
      </w:r>
      <w:r>
        <w:t xml:space="preserve"> </w:t>
      </w:r>
      <w:r>
        <w:t xml:space="preserve">A.D., G.K.A., S.A., S.G.A., S.N.A., Z.K., M.C.P.G., R.A.G.L., S.L., D.B.M., M.N.T., S.M.T., S.H., N.H., A.J., C.G., D.B., I.S., A.S.S., H.v.B., K.B., S.K.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Writing, original draft:</w:t>
      </w:r>
      <w:r>
        <w:t xml:space="preserve"> </w:t>
      </w:r>
      <w:r>
        <w:t xml:space="preserve">J.Z.</w:t>
      </w:r>
    </w:p>
    <w:p>
      <w:pPr>
        <w:pStyle w:val="Compact"/>
        <w:numPr>
          <w:ilvl w:val="0"/>
          <w:numId w:val="1001"/>
        </w:numPr>
      </w:pPr>
      <w:r>
        <w:rPr>
          <w:b/>
          <w:bCs/>
        </w:rPr>
        <w:t xml:space="preserve">Writing, review and editing:</w:t>
      </w:r>
      <w:r>
        <w:t xml:space="preserve"> </w:t>
      </w:r>
      <w:r>
        <w:t xml:space="preserve">all authors.</w:t>
      </w:r>
    </w:p>
    <w:bookmarkEnd w:id="226"/>
    <w:bookmarkStart w:id="227" w:name="competing-interests"/>
    <w:p>
      <w:pPr>
        <w:pStyle w:val="Heading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BodyText"/>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BodyText"/>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8" Target="https://aspredicted.org/te3zw2.pdf" TargetMode="External" /><Relationship Type="http://schemas.openxmlformats.org/officeDocument/2006/relationships/hyperlink" Id="rId68" Target="https://doi.org/10.1001/jamanetworkopen.2025.39031" TargetMode="External" /><Relationship Type="http://schemas.openxmlformats.org/officeDocument/2006/relationships/hyperlink" Id="rId182" Target="https://doi.org/10.1007/s11222-005-4070-y" TargetMode="External" /><Relationship Type="http://schemas.openxmlformats.org/officeDocument/2006/relationships/hyperlink" Id="rId48" Target="https://doi.org/10.1007/s11818-019-00215-x" TargetMode="External" /><Relationship Type="http://schemas.openxmlformats.org/officeDocument/2006/relationships/hyperlink" Id="rId58" Target="https://doi.org/10.1007/s11920-026-01671-7" TargetMode="External" /><Relationship Type="http://schemas.openxmlformats.org/officeDocument/2006/relationships/hyperlink" Id="rId82" Target="https://doi.org/10.1016/0031-9384(86)90427-0" TargetMode="External" /><Relationship Type="http://schemas.openxmlformats.org/officeDocument/2006/relationships/hyperlink" Id="rId96" Target="https://doi.org/10.1016/j.buildenv.2025.112771" TargetMode="External" /><Relationship Type="http://schemas.openxmlformats.org/officeDocument/2006/relationships/hyperlink" Id="rId138" Target="https://doi.org/10.1016/j.clinph.2006.03.011" TargetMode="External" /><Relationship Type="http://schemas.openxmlformats.org/officeDocument/2006/relationships/hyperlink" Id="rId140" Target="https://doi.org/10.1016/j.jad.2016.06.065" TargetMode="External" /><Relationship Type="http://schemas.openxmlformats.org/officeDocument/2006/relationships/hyperlink" Id="rId142" Target="https://doi.org/10.1016/j.jadr.2020.100020" TargetMode="External" /><Relationship Type="http://schemas.openxmlformats.org/officeDocument/2006/relationships/hyperlink" Id="rId66" Target="https://doi.org/10.1016/j.lanepe.2024.100943" TargetMode="External" /><Relationship Type="http://schemas.openxmlformats.org/officeDocument/2006/relationships/hyperlink" Id="rId110" Target="https://doi.org/10.1016/j.measurement.2024.114909" TargetMode="External" /><Relationship Type="http://schemas.openxmlformats.org/officeDocument/2006/relationships/hyperlink" Id="rId80" Target="https://doi.org/10.1016/j.scitotenv.2025.178839" TargetMode="External" /><Relationship Type="http://schemas.openxmlformats.org/officeDocument/2006/relationships/hyperlink" Id="rId176" Target="https://doi.org/10.1037/1082-989X.8.2.129" TargetMode="External" /><Relationship Type="http://schemas.openxmlformats.org/officeDocument/2006/relationships/hyperlink" Id="rId88" Target="https://doi.org/10.1038/s41370-025-00825-8" TargetMode="External" /><Relationship Type="http://schemas.openxmlformats.org/officeDocument/2006/relationships/hyperlink" Id="rId116" Target="https://doi.org/10.1038/s41598-023-43102-0" TargetMode="External" /><Relationship Type="http://schemas.openxmlformats.org/officeDocument/2006/relationships/hyperlink" Id="rId158" Target="https://doi.org/10.1038/s41598-023-48241-y" TargetMode="External" /><Relationship Type="http://schemas.openxmlformats.org/officeDocument/2006/relationships/hyperlink" Id="rId64" Target="https://doi.org/10.1038/s44220-023-00135-8" TargetMode="External" /><Relationship Type="http://schemas.openxmlformats.org/officeDocument/2006/relationships/hyperlink" Id="rId86" Target="https://doi.org/10.1038/s44271-024-00159-5" TargetMode="External" /><Relationship Type="http://schemas.openxmlformats.org/officeDocument/2006/relationships/hyperlink" Id="rId126" Target="https://doi.org/10.1038/s44323-025-00067-9" TargetMode="External" /><Relationship Type="http://schemas.openxmlformats.org/officeDocument/2006/relationships/hyperlink" Id="rId104" Target="https://doi.org/10.1038/s44323-026-00073-5" TargetMode="External" /><Relationship Type="http://schemas.openxmlformats.org/officeDocument/2006/relationships/hyperlink" Id="rId102" Target="https://doi.org/10.1038/s44323-026-00079-z" TargetMode="External" /><Relationship Type="http://schemas.openxmlformats.org/officeDocument/2006/relationships/hyperlink" Id="rId60" Target="https://doi.org/10.1073/pnas.2301608120" TargetMode="External" /><Relationship Type="http://schemas.openxmlformats.org/officeDocument/2006/relationships/hyperlink" Id="rId70" Target="https://doi.org/10.1073/pnas.2405924121" TargetMode="External" /><Relationship Type="http://schemas.openxmlformats.org/officeDocument/2006/relationships/hyperlink" Id="rId118" Target="https://doi.org/10.1080/07420528.2024.2381590" TargetMode="External" /><Relationship Type="http://schemas.openxmlformats.org/officeDocument/2006/relationships/hyperlink" Id="rId84" Target="https://doi.org/10.1093/annweh/wxab092" TargetMode="External" /><Relationship Type="http://schemas.openxmlformats.org/officeDocument/2006/relationships/hyperlink" Id="rId144" Target="https://doi.org/10.1093/jamiaopen/ooac047" TargetMode="External" /><Relationship Type="http://schemas.openxmlformats.org/officeDocument/2006/relationships/hyperlink" Id="rId76" Target="https://doi.org/10.1093/sleep/zsac130" TargetMode="External" /><Relationship Type="http://schemas.openxmlformats.org/officeDocument/2006/relationships/hyperlink" Id="rId132" Target="https://doi.org/10.1093/sleep/zsaf358" TargetMode="External" /><Relationship Type="http://schemas.openxmlformats.org/officeDocument/2006/relationships/hyperlink" Id="rId46" Target="https://doi.org/10.1101/sqb.2007.72.043" TargetMode="External" /><Relationship Type="http://schemas.openxmlformats.org/officeDocument/2006/relationships/hyperlink" Id="rId42" Target="https://doi.org/10.1101/sqb.2007.72.064" TargetMode="External" /><Relationship Type="http://schemas.openxmlformats.org/officeDocument/2006/relationships/hyperlink" Id="rId92" Target="https://doi.org/10.1109/ls2566125.2025.11467681" TargetMode="External" /><Relationship Type="http://schemas.openxmlformats.org/officeDocument/2006/relationships/hyperlink" Id="rId172" Target="https://doi.org/10.1111/j.1467-9868.2010.00749.x" TargetMode="External" /><Relationship Type="http://schemas.openxmlformats.org/officeDocument/2006/relationships/hyperlink" Id="rId180" Target="https://doi.org/10.1111/j.2517-6161.1987.tb01685.x" TargetMode="External" /><Relationship Type="http://schemas.openxmlformats.org/officeDocument/2006/relationships/hyperlink" Id="rId194" Target="https://doi.org/10.1111/j.2517-6161.1995.tb02031.x" TargetMode="External" /><Relationship Type="http://schemas.openxmlformats.org/officeDocument/2006/relationships/hyperlink" Id="rId54" Target="https://doi.org/10.1111/jpi.12655" TargetMode="External" /><Relationship Type="http://schemas.openxmlformats.org/officeDocument/2006/relationships/hyperlink" Id="rId78" Target="https://doi.org/10.1111/jpi.70023" TargetMode="External" /><Relationship Type="http://schemas.openxmlformats.org/officeDocument/2006/relationships/hyperlink" Id="rId120" Target="https://doi.org/10.1111/jsr.14315" TargetMode="External" /><Relationship Type="http://schemas.openxmlformats.org/officeDocument/2006/relationships/hyperlink" Id="rId148" Target="https://doi.org/10.1158/1055-9965.epi-11-0204" TargetMode="External" /><Relationship Type="http://schemas.openxmlformats.org/officeDocument/2006/relationships/hyperlink" Id="rId106" Target="https://doi.org/10.1167/tvst.13.10.28" TargetMode="External" /><Relationship Type="http://schemas.openxmlformats.org/officeDocument/2006/relationships/hyperlink" Id="rId154" Target="https://doi.org/10.1167/tvst.6.4.18" TargetMode="External" /><Relationship Type="http://schemas.openxmlformats.org/officeDocument/2006/relationships/hyperlink" Id="rId72" Target="https://doi.org/10.1177/0004867420968886" TargetMode="External" /><Relationship Type="http://schemas.openxmlformats.org/officeDocument/2006/relationships/hyperlink" Id="rId150" Target="https://doi.org/10.1177/0748730415597520" TargetMode="External" /><Relationship Type="http://schemas.openxmlformats.org/officeDocument/2006/relationships/hyperlink" Id="rId166" Target="https://doi.org/10.1177/07487304251336624" TargetMode="External" /><Relationship Type="http://schemas.openxmlformats.org/officeDocument/2006/relationships/hyperlink" Id="rId170" Target="https://doi.org/10.1177/096228029500400302" TargetMode="External" /><Relationship Type="http://schemas.openxmlformats.org/officeDocument/2006/relationships/hyperlink" Id="rId98" Target="https://doi.org/10.1177/14771535221103258" TargetMode="External" /><Relationship Type="http://schemas.openxmlformats.org/officeDocument/2006/relationships/hyperlink" Id="rId164" Target="https://doi.org/10.1177/14771535231170500" TargetMode="External" /><Relationship Type="http://schemas.openxmlformats.org/officeDocument/2006/relationships/hyperlink" Id="rId112" Target="https://doi.org/10.1186/s12889-024-20206-4" TargetMode="External" /><Relationship Type="http://schemas.openxmlformats.org/officeDocument/2006/relationships/hyperlink" Id="rId50" Target="https://doi.org/10.1186/s12916-025-04608-8" TargetMode="External" /><Relationship Type="http://schemas.openxmlformats.org/officeDocument/2006/relationships/hyperlink" Id="rId178" Target="https://doi.org/10.1198/000313007X188252" TargetMode="External" /><Relationship Type="http://schemas.openxmlformats.org/officeDocument/2006/relationships/hyperlink" Id="rId74" Target="https://doi.org/10.1210/jc.2015-4123" TargetMode="External" /><Relationship Type="http://schemas.openxmlformats.org/officeDocument/2006/relationships/hyperlink" Id="rId168" Target="https://doi.org/10.1214/ss/1177013604" TargetMode="External" /><Relationship Type="http://schemas.openxmlformats.org/officeDocument/2006/relationships/hyperlink" Id="rId124" Target="https://doi.org/10.12688/openreseurope.20985.1" TargetMode="External" /><Relationship Type="http://schemas.openxmlformats.org/officeDocument/2006/relationships/hyperlink" Id="rId90" Target="https://doi.org/10.12688/openreseurope.21304.1" TargetMode="External" /><Relationship Type="http://schemas.openxmlformats.org/officeDocument/2006/relationships/hyperlink" Id="rId94" Target="https://doi.org/10.1289/EHP3431" TargetMode="External" /><Relationship Type="http://schemas.openxmlformats.org/officeDocument/2006/relationships/hyperlink" Id="rId44" Target="https://doi.org/10.1371/journal.pbio.1000145" TargetMode="External" /><Relationship Type="http://schemas.openxmlformats.org/officeDocument/2006/relationships/hyperlink" Id="rId56" Target="https://doi.org/10.1371/journal.pbio.3001571" TargetMode="External" /><Relationship Type="http://schemas.openxmlformats.org/officeDocument/2006/relationships/hyperlink" Id="rId130" Target="https://doi.org/10.1371/journal.pone.0308768" TargetMode="External" /><Relationship Type="http://schemas.openxmlformats.org/officeDocument/2006/relationships/hyperlink" Id="rId184" Target="https://doi.org/10.18637/jss.v067.i01" TargetMode="External" /><Relationship Type="http://schemas.openxmlformats.org/officeDocument/2006/relationships/hyperlink" Id="rId196" Target="https://doi.org/10.21105/joss.01686" TargetMode="External" /><Relationship Type="http://schemas.openxmlformats.org/officeDocument/2006/relationships/hyperlink" Id="rId188" Target="https://doi.org/10.21105/joss.03139" TargetMode="External" /><Relationship Type="http://schemas.openxmlformats.org/officeDocument/2006/relationships/hyperlink" Id="rId192" Target="https://doi.org/10.21105/joss.06962" TargetMode="External" /><Relationship Type="http://schemas.openxmlformats.org/officeDocument/2006/relationships/hyperlink" Id="rId162" Target="https://doi.org/10.21105/joss.07601" TargetMode="External" /><Relationship Type="http://schemas.openxmlformats.org/officeDocument/2006/relationships/hyperlink" Id="rId52" Target="https://doi.org/10.25039/S026.2018" TargetMode="External" /><Relationship Type="http://schemas.openxmlformats.org/officeDocument/2006/relationships/hyperlink" Id="rId100" Target="https://doi.org/10.25039/x051.2025/62xbgg" TargetMode="External" /><Relationship Type="http://schemas.openxmlformats.org/officeDocument/2006/relationships/hyperlink" Id="rId190" Target="https://doi.org/10.32614/CRAN.package.emmeans" TargetMode="External" /><Relationship Type="http://schemas.openxmlformats.org/officeDocument/2006/relationships/hyperlink" Id="rId186" Target="https://doi.org/10.32614/RJ-2017-066" TargetMode="External" /><Relationship Type="http://schemas.openxmlformats.org/officeDocument/2006/relationships/hyperlink" Id="rId128" Target="https://doi.org/10.3389/fpsyt.2023.1199989" TargetMode="External" /><Relationship Type="http://schemas.openxmlformats.org/officeDocument/2006/relationships/hyperlink" Id="rId62" Target="https://doi.org/10.3389/frsle.2023.1268379" TargetMode="External" /><Relationship Type="http://schemas.openxmlformats.org/officeDocument/2006/relationships/hyperlink" Id="rId114" Target="https://doi.org/10.3390/biology8030054" TargetMode="External" /><Relationship Type="http://schemas.openxmlformats.org/officeDocument/2006/relationships/hyperlink" Id="rId122" Target="https://doi.org/10.3390/clockssleep6040042" TargetMode="External" /><Relationship Type="http://schemas.openxmlformats.org/officeDocument/2006/relationships/hyperlink" Id="rId156" Target="https://doi.org/10.3390/ijerph192013599" TargetMode="External" /><Relationship Type="http://schemas.openxmlformats.org/officeDocument/2006/relationships/hyperlink" Id="rId134" Target="https://doi.org/10.3758/s13428-025-02823-y" TargetMode="External" /><Relationship Type="http://schemas.openxmlformats.org/officeDocument/2006/relationships/hyperlink" Id="rId146" Target="https://doi.org/10.5195/jmla.2018.319" TargetMode="External" /><Relationship Type="http://schemas.openxmlformats.org/officeDocument/2006/relationships/hyperlink" Id="rId200" Target="https://doi.org/10.5281/ZENODO.15576731" TargetMode="External" /><Relationship Type="http://schemas.openxmlformats.org/officeDocument/2006/relationships/hyperlink" Id="rId206" Target="https://doi.org/10.5281/ZENODO.16568109" TargetMode="External" /><Relationship Type="http://schemas.openxmlformats.org/officeDocument/2006/relationships/hyperlink" Id="rId202" Target="https://doi.org/10.5281/ZENODO.16834951" TargetMode="External" /><Relationship Type="http://schemas.openxmlformats.org/officeDocument/2006/relationships/hyperlink" Id="rId212" Target="https://doi.org/10.5281/ZENODO.16893901" TargetMode="External" /><Relationship Type="http://schemas.openxmlformats.org/officeDocument/2006/relationships/hyperlink" Id="rId208" Target="https://doi.org/10.5281/ZENODO.16895188" TargetMode="External" /><Relationship Type="http://schemas.openxmlformats.org/officeDocument/2006/relationships/hyperlink" Id="rId210" Target="https://doi.org/10.5281/ZENODO.17289456" TargetMode="External" /><Relationship Type="http://schemas.openxmlformats.org/officeDocument/2006/relationships/hyperlink" Id="rId216" Target="https://doi.org/10.5281/ZENODO.17979893" TargetMode="External" /><Relationship Type="http://schemas.openxmlformats.org/officeDocument/2006/relationships/hyperlink" Id="rId204" Target="https://doi.org/10.5281/ZENODO.18111232" TargetMode="External" /><Relationship Type="http://schemas.openxmlformats.org/officeDocument/2006/relationships/hyperlink" Id="rId214" Target="https://doi.org/10.5281/ZENODO.18925834" TargetMode="External" /><Relationship Type="http://schemas.openxmlformats.org/officeDocument/2006/relationships/hyperlink" Id="rId218" Target="https://doi.org/10.5281/ZENODO.19678543" TargetMode="External" /><Relationship Type="http://schemas.openxmlformats.org/officeDocument/2006/relationships/hyperlink" Id="rId40" Target="https://doi.org/10.5281/zenodo.20547314" TargetMode="External" /><Relationship Type="http://schemas.openxmlformats.org/officeDocument/2006/relationships/hyperlink" Id="rId136" Target="https://doi.org/10.5665/sleep.1642" TargetMode="External" /><Relationship Type="http://schemas.openxmlformats.org/officeDocument/2006/relationships/hyperlink" Id="rId108" Target="https://doi.org/10.64898/2026.07.28.741277" TargetMode="External" /><Relationship Type="http://schemas.openxmlformats.org/officeDocument/2006/relationships/hyperlink" Id="rId174" Target="https://doi.org/10.7717/peerj.6876" TargetMode="External" /><Relationship Type="http://schemas.openxmlformats.org/officeDocument/2006/relationships/hyperlink" Id="rId35" Target="https://github.com/MeLiDosProject" TargetMode="External" /><Relationship Type="http://schemas.openxmlformats.org/officeDocument/2006/relationships/hyperlink" Id="rId38" Target="https://github.com/tscnlab/ZaunerEtAl_bioRxiv_2026" TargetMode="External" /><Relationship Type="http://schemas.openxmlformats.org/officeDocument/2006/relationships/hyperlink" Id="rId220" Target="https://melidosproject.github.io/melidosData/" TargetMode="External" /><Relationship Type="http://schemas.openxmlformats.org/officeDocument/2006/relationships/hyperlink" Id="rId39" Target="https://tscnlab.github.io/ZaunerEtAl_bioRxiv_2026/" TargetMode="External" /><Relationship Type="http://schemas.openxmlformats.org/officeDocument/2006/relationships/hyperlink" Id="rId160" Target="https://www.R-project.org/" TargetMode="External" /><Relationship Type="http://schemas.openxmlformats.org/officeDocument/2006/relationships/hyperlink" Id="rId152" Target="https://www.ncbi.nlm.nih.gov/pubmed/1027738" TargetMode="External" /><Relationship Type="http://schemas.openxmlformats.org/officeDocument/2006/relationships/hyperlink" Id="rId36" Target="https://zenodo.org/communities/22nrm05_melidos/" TargetMode="External" /></Relationships>
</file>

<file path=word/_rels/footnotes.xml.rels><?xml version="1.0" encoding="UTF-8"?><Relationships xmlns="http://schemas.openxmlformats.org/package/2006/relationships"><Relationship Type="http://schemas.openxmlformats.org/officeDocument/2006/relationships/hyperlink" Id="rId198" Target="https://aspredicted.org/te3zw2.pdf" TargetMode="External" /><Relationship Type="http://schemas.openxmlformats.org/officeDocument/2006/relationships/hyperlink" Id="rId68" Target="https://doi.org/10.1001/jamanetworkopen.2025.39031" TargetMode="External" /><Relationship Type="http://schemas.openxmlformats.org/officeDocument/2006/relationships/hyperlink" Id="rId182" Target="https://doi.org/10.1007/s11222-005-4070-y" TargetMode="External" /><Relationship Type="http://schemas.openxmlformats.org/officeDocument/2006/relationships/hyperlink" Id="rId48" Target="https://doi.org/10.1007/s11818-019-00215-x" TargetMode="External" /><Relationship Type="http://schemas.openxmlformats.org/officeDocument/2006/relationships/hyperlink" Id="rId58" Target="https://doi.org/10.1007/s11920-026-01671-7" TargetMode="External" /><Relationship Type="http://schemas.openxmlformats.org/officeDocument/2006/relationships/hyperlink" Id="rId82" Target="https://doi.org/10.1016/0031-9384(86)90427-0" TargetMode="External" /><Relationship Type="http://schemas.openxmlformats.org/officeDocument/2006/relationships/hyperlink" Id="rId96" Target="https://doi.org/10.1016/j.buildenv.2025.112771" TargetMode="External" /><Relationship Type="http://schemas.openxmlformats.org/officeDocument/2006/relationships/hyperlink" Id="rId138" Target="https://doi.org/10.1016/j.clinph.2006.03.011" TargetMode="External" /><Relationship Type="http://schemas.openxmlformats.org/officeDocument/2006/relationships/hyperlink" Id="rId140" Target="https://doi.org/10.1016/j.jad.2016.06.065" TargetMode="External" /><Relationship Type="http://schemas.openxmlformats.org/officeDocument/2006/relationships/hyperlink" Id="rId142" Target="https://doi.org/10.1016/j.jadr.2020.100020" TargetMode="External" /><Relationship Type="http://schemas.openxmlformats.org/officeDocument/2006/relationships/hyperlink" Id="rId66" Target="https://doi.org/10.1016/j.lanepe.2024.100943" TargetMode="External" /><Relationship Type="http://schemas.openxmlformats.org/officeDocument/2006/relationships/hyperlink" Id="rId110" Target="https://doi.org/10.1016/j.measurement.2024.114909" TargetMode="External" /><Relationship Type="http://schemas.openxmlformats.org/officeDocument/2006/relationships/hyperlink" Id="rId80" Target="https://doi.org/10.1016/j.scitotenv.2025.178839" TargetMode="External" /><Relationship Type="http://schemas.openxmlformats.org/officeDocument/2006/relationships/hyperlink" Id="rId176" Target="https://doi.org/10.1037/1082-989X.8.2.129" TargetMode="External" /><Relationship Type="http://schemas.openxmlformats.org/officeDocument/2006/relationships/hyperlink" Id="rId88" Target="https://doi.org/10.1038/s41370-025-00825-8" TargetMode="External" /><Relationship Type="http://schemas.openxmlformats.org/officeDocument/2006/relationships/hyperlink" Id="rId116" Target="https://doi.org/10.1038/s41598-023-43102-0" TargetMode="External" /><Relationship Type="http://schemas.openxmlformats.org/officeDocument/2006/relationships/hyperlink" Id="rId158" Target="https://doi.org/10.1038/s41598-023-48241-y" TargetMode="External" /><Relationship Type="http://schemas.openxmlformats.org/officeDocument/2006/relationships/hyperlink" Id="rId64" Target="https://doi.org/10.1038/s44220-023-00135-8" TargetMode="External" /><Relationship Type="http://schemas.openxmlformats.org/officeDocument/2006/relationships/hyperlink" Id="rId86" Target="https://doi.org/10.1038/s44271-024-00159-5" TargetMode="External" /><Relationship Type="http://schemas.openxmlformats.org/officeDocument/2006/relationships/hyperlink" Id="rId126" Target="https://doi.org/10.1038/s44323-025-00067-9" TargetMode="External" /><Relationship Type="http://schemas.openxmlformats.org/officeDocument/2006/relationships/hyperlink" Id="rId104" Target="https://doi.org/10.1038/s44323-026-00073-5" TargetMode="External" /><Relationship Type="http://schemas.openxmlformats.org/officeDocument/2006/relationships/hyperlink" Id="rId102" Target="https://doi.org/10.1038/s44323-026-00079-z" TargetMode="External" /><Relationship Type="http://schemas.openxmlformats.org/officeDocument/2006/relationships/hyperlink" Id="rId60" Target="https://doi.org/10.1073/pnas.2301608120" TargetMode="External" /><Relationship Type="http://schemas.openxmlformats.org/officeDocument/2006/relationships/hyperlink" Id="rId70" Target="https://doi.org/10.1073/pnas.2405924121" TargetMode="External" /><Relationship Type="http://schemas.openxmlformats.org/officeDocument/2006/relationships/hyperlink" Id="rId118" Target="https://doi.org/10.1080/07420528.2024.2381590" TargetMode="External" /><Relationship Type="http://schemas.openxmlformats.org/officeDocument/2006/relationships/hyperlink" Id="rId84" Target="https://doi.org/10.1093/annweh/wxab092" TargetMode="External" /><Relationship Type="http://schemas.openxmlformats.org/officeDocument/2006/relationships/hyperlink" Id="rId144" Target="https://doi.org/10.1093/jamiaopen/ooac047" TargetMode="External" /><Relationship Type="http://schemas.openxmlformats.org/officeDocument/2006/relationships/hyperlink" Id="rId76" Target="https://doi.org/10.1093/sleep/zsac130" TargetMode="External" /><Relationship Type="http://schemas.openxmlformats.org/officeDocument/2006/relationships/hyperlink" Id="rId132" Target="https://doi.org/10.1093/sleep/zsaf358" TargetMode="External" /><Relationship Type="http://schemas.openxmlformats.org/officeDocument/2006/relationships/hyperlink" Id="rId46" Target="https://doi.org/10.1101/sqb.2007.72.043" TargetMode="External" /><Relationship Type="http://schemas.openxmlformats.org/officeDocument/2006/relationships/hyperlink" Id="rId42" Target="https://doi.org/10.1101/sqb.2007.72.064" TargetMode="External" /><Relationship Type="http://schemas.openxmlformats.org/officeDocument/2006/relationships/hyperlink" Id="rId92" Target="https://doi.org/10.1109/ls2566125.2025.11467681" TargetMode="External" /><Relationship Type="http://schemas.openxmlformats.org/officeDocument/2006/relationships/hyperlink" Id="rId172" Target="https://doi.org/10.1111/j.1467-9868.2010.00749.x" TargetMode="External" /><Relationship Type="http://schemas.openxmlformats.org/officeDocument/2006/relationships/hyperlink" Id="rId180" Target="https://doi.org/10.1111/j.2517-6161.1987.tb01685.x" TargetMode="External" /><Relationship Type="http://schemas.openxmlformats.org/officeDocument/2006/relationships/hyperlink" Id="rId194" Target="https://doi.org/10.1111/j.2517-6161.1995.tb02031.x" TargetMode="External" /><Relationship Type="http://schemas.openxmlformats.org/officeDocument/2006/relationships/hyperlink" Id="rId54" Target="https://doi.org/10.1111/jpi.12655" TargetMode="External" /><Relationship Type="http://schemas.openxmlformats.org/officeDocument/2006/relationships/hyperlink" Id="rId78" Target="https://doi.org/10.1111/jpi.70023" TargetMode="External" /><Relationship Type="http://schemas.openxmlformats.org/officeDocument/2006/relationships/hyperlink" Id="rId120" Target="https://doi.org/10.1111/jsr.14315" TargetMode="External" /><Relationship Type="http://schemas.openxmlformats.org/officeDocument/2006/relationships/hyperlink" Id="rId148" Target="https://doi.org/10.1158/1055-9965.epi-11-0204" TargetMode="External" /><Relationship Type="http://schemas.openxmlformats.org/officeDocument/2006/relationships/hyperlink" Id="rId106" Target="https://doi.org/10.1167/tvst.13.10.28" TargetMode="External" /><Relationship Type="http://schemas.openxmlformats.org/officeDocument/2006/relationships/hyperlink" Id="rId154" Target="https://doi.org/10.1167/tvst.6.4.18" TargetMode="External" /><Relationship Type="http://schemas.openxmlformats.org/officeDocument/2006/relationships/hyperlink" Id="rId72" Target="https://doi.org/10.1177/0004867420968886" TargetMode="External" /><Relationship Type="http://schemas.openxmlformats.org/officeDocument/2006/relationships/hyperlink" Id="rId150" Target="https://doi.org/10.1177/0748730415597520" TargetMode="External" /><Relationship Type="http://schemas.openxmlformats.org/officeDocument/2006/relationships/hyperlink" Id="rId166" Target="https://doi.org/10.1177/07487304251336624" TargetMode="External" /><Relationship Type="http://schemas.openxmlformats.org/officeDocument/2006/relationships/hyperlink" Id="rId170" Target="https://doi.org/10.1177/096228029500400302" TargetMode="External" /><Relationship Type="http://schemas.openxmlformats.org/officeDocument/2006/relationships/hyperlink" Id="rId98" Target="https://doi.org/10.1177/14771535221103258" TargetMode="External" /><Relationship Type="http://schemas.openxmlformats.org/officeDocument/2006/relationships/hyperlink" Id="rId164" Target="https://doi.org/10.1177/14771535231170500" TargetMode="External" /><Relationship Type="http://schemas.openxmlformats.org/officeDocument/2006/relationships/hyperlink" Id="rId112" Target="https://doi.org/10.1186/s12889-024-20206-4" TargetMode="External" /><Relationship Type="http://schemas.openxmlformats.org/officeDocument/2006/relationships/hyperlink" Id="rId50" Target="https://doi.org/10.1186/s12916-025-04608-8" TargetMode="External" /><Relationship Type="http://schemas.openxmlformats.org/officeDocument/2006/relationships/hyperlink" Id="rId178" Target="https://doi.org/10.1198/000313007X188252" TargetMode="External" /><Relationship Type="http://schemas.openxmlformats.org/officeDocument/2006/relationships/hyperlink" Id="rId74" Target="https://doi.org/10.1210/jc.2015-4123" TargetMode="External" /><Relationship Type="http://schemas.openxmlformats.org/officeDocument/2006/relationships/hyperlink" Id="rId168" Target="https://doi.org/10.1214/ss/1177013604" TargetMode="External" /><Relationship Type="http://schemas.openxmlformats.org/officeDocument/2006/relationships/hyperlink" Id="rId124" Target="https://doi.org/10.12688/openreseurope.20985.1" TargetMode="External" /><Relationship Type="http://schemas.openxmlformats.org/officeDocument/2006/relationships/hyperlink" Id="rId90" Target="https://doi.org/10.12688/openreseurope.21304.1" TargetMode="External" /><Relationship Type="http://schemas.openxmlformats.org/officeDocument/2006/relationships/hyperlink" Id="rId94" Target="https://doi.org/10.1289/EHP3431" TargetMode="External" /><Relationship Type="http://schemas.openxmlformats.org/officeDocument/2006/relationships/hyperlink" Id="rId44" Target="https://doi.org/10.1371/journal.pbio.1000145" TargetMode="External" /><Relationship Type="http://schemas.openxmlformats.org/officeDocument/2006/relationships/hyperlink" Id="rId56" Target="https://doi.org/10.1371/journal.pbio.3001571" TargetMode="External" /><Relationship Type="http://schemas.openxmlformats.org/officeDocument/2006/relationships/hyperlink" Id="rId130" Target="https://doi.org/10.1371/journal.pone.0308768" TargetMode="External" /><Relationship Type="http://schemas.openxmlformats.org/officeDocument/2006/relationships/hyperlink" Id="rId184" Target="https://doi.org/10.18637/jss.v067.i01" TargetMode="External" /><Relationship Type="http://schemas.openxmlformats.org/officeDocument/2006/relationships/hyperlink" Id="rId196" Target="https://doi.org/10.21105/joss.01686" TargetMode="External" /><Relationship Type="http://schemas.openxmlformats.org/officeDocument/2006/relationships/hyperlink" Id="rId188" Target="https://doi.org/10.21105/joss.03139" TargetMode="External" /><Relationship Type="http://schemas.openxmlformats.org/officeDocument/2006/relationships/hyperlink" Id="rId192" Target="https://doi.org/10.21105/joss.06962" TargetMode="External" /><Relationship Type="http://schemas.openxmlformats.org/officeDocument/2006/relationships/hyperlink" Id="rId162" Target="https://doi.org/10.21105/joss.07601" TargetMode="External" /><Relationship Type="http://schemas.openxmlformats.org/officeDocument/2006/relationships/hyperlink" Id="rId52" Target="https://doi.org/10.25039/S026.2018" TargetMode="External" /><Relationship Type="http://schemas.openxmlformats.org/officeDocument/2006/relationships/hyperlink" Id="rId100" Target="https://doi.org/10.25039/x051.2025/62xbgg" TargetMode="External" /><Relationship Type="http://schemas.openxmlformats.org/officeDocument/2006/relationships/hyperlink" Id="rId190" Target="https://doi.org/10.32614/CRAN.package.emmeans" TargetMode="External" /><Relationship Type="http://schemas.openxmlformats.org/officeDocument/2006/relationships/hyperlink" Id="rId186" Target="https://doi.org/10.32614/RJ-2017-066" TargetMode="External" /><Relationship Type="http://schemas.openxmlformats.org/officeDocument/2006/relationships/hyperlink" Id="rId128" Target="https://doi.org/10.3389/fpsyt.2023.1199989" TargetMode="External" /><Relationship Type="http://schemas.openxmlformats.org/officeDocument/2006/relationships/hyperlink" Id="rId62" Target="https://doi.org/10.3389/frsle.2023.1268379" TargetMode="External" /><Relationship Type="http://schemas.openxmlformats.org/officeDocument/2006/relationships/hyperlink" Id="rId114" Target="https://doi.org/10.3390/biology8030054" TargetMode="External" /><Relationship Type="http://schemas.openxmlformats.org/officeDocument/2006/relationships/hyperlink" Id="rId122" Target="https://doi.org/10.3390/clockssleep6040042" TargetMode="External" /><Relationship Type="http://schemas.openxmlformats.org/officeDocument/2006/relationships/hyperlink" Id="rId156" Target="https://doi.org/10.3390/ijerph192013599" TargetMode="External" /><Relationship Type="http://schemas.openxmlformats.org/officeDocument/2006/relationships/hyperlink" Id="rId134" Target="https://doi.org/10.3758/s13428-025-02823-y" TargetMode="External" /><Relationship Type="http://schemas.openxmlformats.org/officeDocument/2006/relationships/hyperlink" Id="rId146" Target="https://doi.org/10.5195/jmla.2018.319" TargetMode="External" /><Relationship Type="http://schemas.openxmlformats.org/officeDocument/2006/relationships/hyperlink" Id="rId200" Target="https://doi.org/10.5281/ZENODO.15576731" TargetMode="External" /><Relationship Type="http://schemas.openxmlformats.org/officeDocument/2006/relationships/hyperlink" Id="rId206" Target="https://doi.org/10.5281/ZENODO.16568109" TargetMode="External" /><Relationship Type="http://schemas.openxmlformats.org/officeDocument/2006/relationships/hyperlink" Id="rId202" Target="https://doi.org/10.5281/ZENODO.16834951" TargetMode="External" /><Relationship Type="http://schemas.openxmlformats.org/officeDocument/2006/relationships/hyperlink" Id="rId212" Target="https://doi.org/10.5281/ZENODO.16893901" TargetMode="External" /><Relationship Type="http://schemas.openxmlformats.org/officeDocument/2006/relationships/hyperlink" Id="rId208" Target="https://doi.org/10.5281/ZENODO.16895188" TargetMode="External" /><Relationship Type="http://schemas.openxmlformats.org/officeDocument/2006/relationships/hyperlink" Id="rId210" Target="https://doi.org/10.5281/ZENODO.17289456" TargetMode="External" /><Relationship Type="http://schemas.openxmlformats.org/officeDocument/2006/relationships/hyperlink" Id="rId216" Target="https://doi.org/10.5281/ZENODO.17979893" TargetMode="External" /><Relationship Type="http://schemas.openxmlformats.org/officeDocument/2006/relationships/hyperlink" Id="rId204" Target="https://doi.org/10.5281/ZENODO.18111232" TargetMode="External" /><Relationship Type="http://schemas.openxmlformats.org/officeDocument/2006/relationships/hyperlink" Id="rId214" Target="https://doi.org/10.5281/ZENODO.18925834" TargetMode="External" /><Relationship Type="http://schemas.openxmlformats.org/officeDocument/2006/relationships/hyperlink" Id="rId218" Target="https://doi.org/10.5281/ZENODO.19678543" TargetMode="External" /><Relationship Type="http://schemas.openxmlformats.org/officeDocument/2006/relationships/hyperlink" Id="rId40" Target="https://doi.org/10.5281/zenodo.20547314" TargetMode="External" /><Relationship Type="http://schemas.openxmlformats.org/officeDocument/2006/relationships/hyperlink" Id="rId136" Target="https://doi.org/10.5665/sleep.1642" TargetMode="External" /><Relationship Type="http://schemas.openxmlformats.org/officeDocument/2006/relationships/hyperlink" Id="rId108" Target="https://doi.org/10.64898/2026.07.28.741277" TargetMode="External" /><Relationship Type="http://schemas.openxmlformats.org/officeDocument/2006/relationships/hyperlink" Id="rId174" Target="https://doi.org/10.7717/peerj.6876" TargetMode="External" /><Relationship Type="http://schemas.openxmlformats.org/officeDocument/2006/relationships/hyperlink" Id="rId35" Target="https://github.com/MeLiDosProject" TargetMode="External" /><Relationship Type="http://schemas.openxmlformats.org/officeDocument/2006/relationships/hyperlink" Id="rId38" Target="https://github.com/tscnlab/ZaunerEtAl_bioRxiv_2026" TargetMode="External" /><Relationship Type="http://schemas.openxmlformats.org/officeDocument/2006/relationships/hyperlink" Id="rId220" Target="https://melidosproject.github.io/melidosData/" TargetMode="External" /><Relationship Type="http://schemas.openxmlformats.org/officeDocument/2006/relationships/hyperlink" Id="rId39" Target="https://tscnlab.github.io/ZaunerEtAl_bioRxiv_2026/" TargetMode="External" /><Relationship Type="http://schemas.openxmlformats.org/officeDocument/2006/relationships/hyperlink" Id="rId160" Target="https://www.R-project.org/" TargetMode="External" /><Relationship Type="http://schemas.openxmlformats.org/officeDocument/2006/relationships/hyperlink" Id="rId152" Target="https://www.ncbi.nlm.nih.gov/pubmed/1027738" TargetMode="External" /><Relationship Type="http://schemas.openxmlformats.org/officeDocument/2006/relationships/hyperlink" Id="rId36" Target="https://zenodo.org/communities/22nrm05_melid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 Altug Didikoglu; Sam Aerts; Gabriel Kwaku Agbeshie; Kwadwo Owusu Akuffo; Sena Gulsum Akgun; Sema Nur Aydin; David Baeza Moyano; Daan Boesten; John F.B. Bolte; Kai Broszio; Guadalupe Cantarero García; Roberto Alonso González Lezcano; Carolina Guidolin; Sarina Hilden; Nico Hogervorst; Astrid Jansen; Zeynep Kayar; Stefan Källberg; Suyoun Lee; Sofía Melero Tur; Maria Nilsson Tengelin; María Concepción Pérez Gutiérrez; Andrea Sancho-Salas; Oliver Stefani; Ingemar Svensson; Helga von-Breymann; Manuel Spitschan</dc:creator>
  <dc:language>en-GB</dc:language>
  <cp:keywords>ocular light exposure, melanopic equivalent daylight illuminance, wearable sensing, environmental health, circadian light, multicountry study</cp:keywords>
  <dcterms:created xsi:type="dcterms:W3CDTF">2026-08-20T22:45:24Z</dcterms:created>
  <dcterms:modified xsi:type="dcterms:W3CDTF">2026-08-20T22:45:24Z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is associated with sleep, mental, metabolic and cardiovascular health, but its everyday multiscale architecture is unresolved. We analysed 191 adults across nine sites in seven countries; 184 contributed 1,478 recorded participant-days. Screened near-eye data comprised 141 adults and 816 days, with complementary chest data from 154 adults and 902 days. Exposure followed a shared 24-hour rhythm. In the near-eye model, common time received 78.9% of in-sample model-fit credit, participant curves 12.9%, participant-day shifts 6.2% and site curves 2.0%; participant curves plus day shifts received 9.49 times the site credit. Only 24.0% of valid waking minutes reached the recommended daytime range. Free-minus-Work adherence differed by -4.9 percentage points during Wake, +8.0 during Pre-sleep and -6.1 during Sleep, with site variation in Wake and Sleep. Immediate context produced the largest exposure contrasts. This observational study establishes a multisite ocular-exposure baseline, but measured no health outcome.</vt:lpwstr>
  </property>
  <property fmtid="{D5CDD505-2E9C-101B-9397-08002B2CF9AE}" pid="3" name="abstract-title">
    <vt:lpwstr>Provisional abstract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../../nature.csl</vt:lpwstr>
  </property>
  <property fmtid="{D5CDD505-2E9C-101B-9397-08002B2CF9AE}" pid="12" name="date">
    <vt:lpwstr>2026-08-21</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ference-section-title">
    <vt:lpwstr>References</vt:lpwstr>
  </property>
  <property fmtid="{D5CDD505-2E9C-101B-9397-08002B2CF9AE}" pid="20" name="subtitle">
    <vt:lpwstr>Phase 3 Brown-integrated author-review revision</vt:lpwstr>
  </property>
  <property fmtid="{D5CDD505-2E9C-101B-9397-08002B2CF9AE}" pid="21" name="toc-title">
    <vt:lpwstr>Table of contents</vt:lpwstr>
  </property>
</Properties>
</file>