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S2. Full near-eye metric dictionary and distributions</w:t>
      </w:r>
    </w:p>
    <w:tbl>
      <w:tblPr>
        <w:tblW w:type="dxa" w:w="22234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2236"/>
        <w:gridCol w:w="916"/>
        <w:gridCol w:w="1469"/>
        <w:gridCol w:w="1555"/>
        <w:gridCol w:w="1555"/>
        <w:gridCol w:w="1640"/>
        <w:gridCol w:w="1469"/>
        <w:gridCol w:w="1555"/>
        <w:gridCol w:w="1469"/>
        <w:gridCol w:w="1555"/>
        <w:gridCol w:w="1469"/>
        <w:gridCol w:w="1384"/>
        <w:gridCol w:w="1278"/>
        <w:gridCol w:w="2683"/>
      </w:tblGrid>
      <w:tr>
        <w:trPr>
          <w:cantSplit/>
          <w:tblHeader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 descriptive summary (near eye)</w:t>
            </w:r>
          </w:p>
        </w:tc>
      </w:tr>
      <w:tr>
        <w:trPr>
          <w:cantSplit/>
          <w:tblHeader/>
        </w:trPr>
        <w:tc>
          <w:tcPr>
            <w:tcW w:type="dxa" w:w="223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1</w:t>
            </w:r>
          </w:p>
        </w:tc>
        <w:tc>
          <w:tcPr>
            <w:tcW w:type="dxa" w:w="91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Unit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88CCEE"/>
                <w:sz w:val="20"/>
              </w:rPr>
              <w:t>Borås</w:t>
            </w:r>
            <w:r>
              <w:br/>
            </w:r>
            <w:r>
              <w:rPr>
                <w:rFonts w:ascii="Arial" w:hAnsi="Arial"/>
                <w:b/>
                <w:i w:val="0"/>
                <w:color w:val="88CCEE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8CCEE"/>
                <w:sz w:val="20"/>
              </w:rPr>
              <w:t>(SE)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117733"/>
                <w:sz w:val="20"/>
              </w:rPr>
              <w:t>Delft</w:t>
            </w:r>
            <w:r>
              <w:br/>
            </w:r>
            <w:r>
              <w:rPr>
                <w:rFonts w:ascii="Arial" w:hAnsi="Arial"/>
                <w:b/>
                <w:i w:val="0"/>
                <w:color w:val="1177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117733"/>
                <w:sz w:val="20"/>
              </w:rPr>
              <w:t>(NL)</w:t>
            </w:r>
          </w:p>
        </w:tc>
        <w:tc>
          <w:tcPr>
            <w:tcW w:type="dxa" w:w="164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Dortmund</w:t>
            </w:r>
            <w:r>
              <w:br/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>(DE)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Tübingen</w:t>
            </w:r>
            <w:r>
              <w:br/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>(DE)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Munich</w:t>
            </w:r>
            <w:r>
              <w:br/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>(DE)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CC6677"/>
                <w:sz w:val="20"/>
              </w:rPr>
              <w:t>Madrid</w:t>
            </w:r>
            <w:r>
              <w:br/>
            </w:r>
            <w:r>
              <w:rPr>
                <w:rFonts w:ascii="Arial" w:hAnsi="Arial"/>
                <w:b/>
                <w:i w:val="0"/>
                <w:color w:val="CC66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CC6677"/>
                <w:sz w:val="20"/>
              </w:rPr>
              <w:t>(ES)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2288"/>
                <w:sz w:val="20"/>
              </w:rPr>
              <w:t>Izmir</w:t>
            </w:r>
            <w:r>
              <w:br/>
            </w:r>
            <w:r>
              <w:rPr>
                <w:rFonts w:ascii="Arial" w:hAnsi="Arial"/>
                <w:b/>
                <w:i w:val="0"/>
                <w:color w:val="332288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332288"/>
                <w:sz w:val="20"/>
              </w:rPr>
              <w:t>(TR)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44AA99"/>
                <w:sz w:val="20"/>
              </w:rPr>
              <w:t>San José</w:t>
            </w:r>
            <w:r>
              <w:br/>
            </w:r>
            <w:r>
              <w:rPr>
                <w:rFonts w:ascii="Arial" w:hAnsi="Arial"/>
                <w:b/>
                <w:i w:val="0"/>
                <w:color w:val="44AA99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44AA99"/>
                <w:sz w:val="20"/>
              </w:rPr>
              <w:t>(CR)</w:t>
            </w:r>
          </w:p>
        </w:tc>
        <w:tc>
          <w:tcPr>
            <w:tcW w:type="dxa" w:w="138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AA4499"/>
                <w:sz w:val="20"/>
              </w:rPr>
              <w:t>Kumasi</w:t>
            </w:r>
            <w:r>
              <w:br/>
            </w:r>
            <w:r>
              <w:rPr>
                <w:rFonts w:ascii="Arial" w:hAnsi="Arial"/>
                <w:b/>
                <w:i w:val="0"/>
                <w:color w:val="AA4499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AA4499"/>
                <w:sz w:val="20"/>
              </w:rPr>
              <w:t>(GH)</w:t>
            </w:r>
          </w:p>
        </w:tc>
        <w:tc>
          <w:tcPr>
            <w:tcW w:type="dxa" w:w="127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Scaling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2</w:t>
            </w:r>
          </w:p>
        </w:tc>
        <w:tc>
          <w:tcPr>
            <w:tcW w:type="dxa" w:w="268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Distribution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Duration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above 1,000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Bright-light exposure duration; relevant to daytime alerting and circadian entrainment.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(00:11, 01:33)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01:10 ± 01:28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(00:31, 03:24)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02:00 ± 01:54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(00:29, 02:12)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01:33 ± 01:28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01:03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(00:20, 02:32)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01:48 ± 02:14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(00:07, 01:25)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01:06 ± 01:22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(00:10, 01:46)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01:09 ± 01:18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00:27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(00:06, 00:53)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00:38 ± 00:47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(00:06, 01:04)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00:44 ± 00:51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(00:09, 00:43)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00:32 ± 00:33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(00:17, 01:14)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00:58 ± 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" name="Picture 1" descr="Time above 1,00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above 250 lx melEDI during wake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Waking time in recommended daytime light; relevant to alertness, entrainment, and subsequent sleep.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(00:51, 04:37)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03:00 ± 02:29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d=737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04:06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(02:30, 06:15)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04:21 ± 02:24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d=73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(02:03, 05:16)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03:39 ± 02:25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d=64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(02:05, 05:58)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04:05 ± 02:51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d=90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(00:47, 04:20)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02:52 ± 02:39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d=141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(00:55, 04:19)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02:57 ± 02:19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d=54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(00:54, 04:43)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03:02 ± 02:19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d=113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(00:41, 03:26)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02:09 ± 01:57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d=94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(00:33, 02:40)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01:48 ± 01:21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d=30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(00:25, 02:37)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01:45 ± 01:46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d=78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2" name="Picture 2" descr="Time above 250 lx melEDI during wake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below 10 lx melEDI before sleep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Low-light time before bed; limits evening melatonin suppression and circadian delay.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(01:01, 02:35)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01:51 ± 01:02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N=139; d=655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(01:30, 02:39)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02:05 ± 00:53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d=67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(01:21, 02:52)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01:59 ± 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N=12; d=50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(00:53, 02:17)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01:41 ± 00:58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d=84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(01:04, 02:25)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01:52 ± 01:06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d=132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(00:42, 02:32)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01:45 ± 01:10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d=52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(00:58, 02:50)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01:50 ± 01:05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d=105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(00:49, 02:15)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01:38 ± 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d=82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(01:15, 02:39)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01:56 ± 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d=25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(01:28, 02:52)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02:09 ± 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N=14; d=58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3" name="Picture 3" descr="Time below 10 lx melEDI before sleep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below 1 lx melEDI during sleep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Darkness during sleep; supports nocturnal melatonin and an undisturbed sleep environment.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(05:58, 08:15)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07:04 ± 01:57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d=778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(06:03, 08:18)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07:12 ± 01:46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d=76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(05:56, 08:06)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07:01 ± 01:50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d=68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(05:56, 08:16)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07:05 ± 01:50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d=95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06:54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(05:51, 07:46)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06:47 ± 01:30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05:52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(04:41, 07:03)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05:58 ± 01:58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08:06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(07:10, 09:10)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08:02 ± 01:57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d=118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06:45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(05:08, 08:15)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06:40 ± 02:07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d=99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06:56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(06:06, 07:36)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06:39 ± 01:43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d=31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(06:31, 09:00)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07:35 ± 02:15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4" name="Picture 4" descr="Time below 1 lx melEDI during sleep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Longest period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Longest sustained bright-light bout; captures continuity of daytime circadian stimulation.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(00:17, 01:12)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00:55 ± 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(00:28, 01:27)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01:12 ± 01:02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(00:23, 01:20)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01:09 ± 01:15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(00:21, 01:40)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01:20 ± 01:31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(00:13, 01:06)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00:50 ± 00:54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(00:17, 01:32)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01:01 ± 01:02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(00:16, 01:04)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00:45 ± 00:36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(00:14, 00:55)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00:43 ± 00:41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(00:16, 00:43)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00:30 ± 00:20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00:23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(00:15, 00:49)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00:38 ± 00:45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5" name="Picture 5" descr="Longest period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Dynamics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Interdaily stability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Day-to-day regularity of the light–dark pattern; higher regularity supports circadian stability.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(0.248, 0.38)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0.318 ± 0.095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(0.272, 0.367)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0.315 ± 0.078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(0.239, 0.389)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0.288 ± 0.094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0.264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(0.219, 0.319)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0.274 ± 0.074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(0.263, 0.424)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0.344 ± 0.107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(0.218, 0.277)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0.252 ± 0.058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(0.321, 0.455)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0.368 ± 0.092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(0.254, 0.394)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0.323 ± 0.104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(0.315, 0.473)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0.37 ± 0.118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0.293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(0.255, 0.354)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0.299 ± 0.062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Identity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6" name="Picture 6" descr="Interdaily stability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Intradaily variability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Within-day fragmentation of light exposure; higher values indicate less consolidated light–dark input.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1.253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(0.93, 1.502)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1.229 ± 0.389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0.997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(0.818, 1.388)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1.088 ± 0.343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1.193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(0.96, 1.389)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1.238 ± 0.345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1.182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(0.928, 1.49)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1.177 ± 0.407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1.154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(0.801, 1.442)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1.125 ± 0.354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(0.869, 1.642)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1.332 ± 0.477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1.251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(0.999, 1.497)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1.251 ± 0.413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1.359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(0.95, 1.546)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1.307 ± 0.415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1.399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(1.282, 1.483)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1.355 ± 0.256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1.324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(1.029, 1.595)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1.344 ± 0.413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Identity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7" name="Picture 7" descr="Intradaily variability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Exposure history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melEDI dose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Intensity–duration-weighted melanopic exposure; summarizes cumulative non-visual retinal light input.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klx·h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4.96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(1.936, 12.313)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10.358 ± 16.216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d=761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9.296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(3.892, 21.895)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19.923 ± 27.784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d=71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10.495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(3.855, 17.395)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15.881 ± 20.395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d=74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6.751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(2.469, 14.435)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13.809 ± 23.711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d=97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3.862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(1.411, 10.217)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7.719 ± 9.847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d=137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(1.897, 15.789)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10.055 ± 11.237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d=55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3.317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(1.703, 6.29)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6.115 ± 8.79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d=125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4.35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(1.791, 10.625)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7.49 ± 8.898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d=96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2.195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(1.339, 4.117)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3.281 ± 2.573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d=30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6.045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(2.49, 14.907)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10.016 ± 10.799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d=76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8" name="Picture 8" descr="melEDI dose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Level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Mean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Geometric average of daily melEDI values, including zeros; summarizes overall exposure while reducing peak influence.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lx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5.154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(2.831, 9.225)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7.587 ± 9.496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7.569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(4.55, 11.613)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9.171 ± 7.111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6.659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(4.18, 11.674)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8.274 ± 6.558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7.704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(3.081, 13.924)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12.017 ± 18.865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5.232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(3.224, 8.188)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7.221 ± 6.33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9.013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(4.011, 15.089)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12.102 ± 12.013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3.505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(1.469, 6.211)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4.166 ± 3.272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5.857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(3.726, 7.986)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7.778 ± 6.946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4.325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(3.585, 6.77)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5.248 ± 2.85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2.144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(0.744, 4.042)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3.019 ± 2.896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9" name="Picture 9" descr="Mean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Brightest 10 h mean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Mean of the brightest 10 hours; reflects the strength of the main daytime light episode.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lx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110.566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(41.513, 243.212)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214.866 ± 508.56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252.689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(104.514, 461.953)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399.302 ± 518.102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175.974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(78.625, 299.106)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262.206 ± 329.201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156.184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(67.783, 339.731)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422.54 ± 1,209.616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100.057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(33.255, 209.904)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179.372 ± 241.53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130.78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(54.044, 259.726)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201.947 ± 194.042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101.102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(24.355, 218.457)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136.312 ± 134.07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83.24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(53.17, 151.786)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120.172 ± 101.545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68.143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(45.331, 132.458)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96.735 ± 72.311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46.66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(9.242, 103.175)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82.489 ± 115.07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0" name="Picture 10" descr="Brightest 10 h mean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Darkest 10 h mean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Mean of the darkest 10 hours; lower values during the biological night favour melatonin preservation and sleep.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lx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0.103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(0.02, 0.253)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0.243 ± 0.513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(0.016, 0.191)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0.183 ± 0.299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(0.035, 0.23)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 ± 0.332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(0.036, 0.282)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0.223 ± 0.299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0.149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(0.074, 0.309)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0.273 ± 0.465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(0.119, 0.71)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0.515 ± 0.653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(0, 0.08)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0.054 ± 0.075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(0.052, 0.481)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0.475 ± 0.882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(0.055, 0.309)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0.411 ± 1.044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(0, 0.092)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0.059 ± 0.104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1" name="Picture 11" descr="Darkest 10 h mean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Spectrum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Melanopic daylight efficacy ratio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Mean of viable one-minute melEDI/illuminance ratios; indicates melanopic efficacy relative to visual light.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(0.643, 0.795)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0.724 ± 0.116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N=137; d=687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0.788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(0.725, 0.872)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0.796 ± 0.162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d=74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(0.699, 0.796)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0.743 ± 0.077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d=65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0.781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(0.675, 0.853)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0.768 ± 0.118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d=97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0.65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(0.592, 0.728)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0.667 ± 0.098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d=144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(0.652, 0.773)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0.72 ± 0.093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d=55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0.668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(0.629, 0.721)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0.673 ± 0.07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N=22; d=83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0.747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(0.634, 0.834)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0.735 ± 0.122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d=91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(0.661, 0.761)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0.706 ± 0.067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d=30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0.755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(0.729, 0.82)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0.758 ± 0.097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N=12; d=48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Identity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2" name="Picture 12" descr="Melanopic daylight efficacy ratio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Timing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Midpoint of the brightest 10 hours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Centre time of the brightest 10 hours; indexes the main daily circadian light cue.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(12:48, 15:00)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13:56 ± 01:51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(12:28, 14:10)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13:20 ± 01:33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(13:23, 15:18)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14:22 ± 01:51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(12:54, 15:04)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14:00 ± 01:42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(12:47, 14:44)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13:52 ± 01:42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(12:50, 16:03)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14:31 ± 02:14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(13:06, 15:20)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14:10 ± 01:51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14:10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(13:32, 15:21)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14:25 ± 01:37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(11:49, 14:02)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12:55 ± 01:44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12:49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(12:06, 13:39)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13:03 ± 01:58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3" name="Picture 13" descr="Midpoint of the brightest 10 hours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Midpoint of the darkest 10 hours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Centre time of the darkest 10 hours; indexes the main daily darkness cue.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(02:01, 03:50)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02:58 ± 01:41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(01:25, 02:48)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02:03 ± 01:07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02:55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(02:01, 03:27)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02:50 ± 02:05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(01:45, 03:22)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02:37 ± 01:19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(02:11, 04:10)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03:16 ± 01:34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(01:54, 04:17)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03:10 ± 02:00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(02:43, 04:34)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03:34 ± 01:49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(02:33, 04:14)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03:26 ± 01:25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(01:05, 03:01)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02:10 ± 01:27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(02:04, 03:17)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02:36 ± 01:36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4" name="Picture 14" descr="Midpoint of the darkest 10 hours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First light timing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First waking bright-light exposure; morning timing can advance circadian phase and promote alertness.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(08:02, 10:40)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09:26 ± 02:22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N=140; d=727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(06:56, 08:33)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08:03 ± 01:32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d=74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(08:18, 09:52)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09:17 ± 01:56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d=68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(07:10, 10:13)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08:45 ± 02:21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d=93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(08:13, 10:53)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09:45 ± 02:21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N=25; d=133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(07:58, 10:53)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09:39 ± 03:12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d=56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(08:40, 11:21)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10:05 ± 02:18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d=118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10:01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(09:06, 11:52)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10:26 ± 02:28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d=95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(07:26, 09:57)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08:36 ± 01:30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d=29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(08:01, 10:10)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09:19 ± 01:52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d=61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5" name="Picture 15" descr="First light timing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Last light timing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Last bright-light exposure; later timing may delay circadian phase and sleep onset.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(16:27, 19:42)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18:03 ± 02:36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d=687</w:t>
            </w:r>
          </w:p>
        </w:tc>
        <w:tc>
          <w:tcPr>
            <w:tcW w:type="dxa" w:w="1555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(17:38, 19:38)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18:39 ± 01:38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d=73</w:t>
            </w:r>
          </w:p>
        </w:tc>
        <w:tc>
          <w:tcPr>
            <w:tcW w:type="dxa" w:w="1555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(17:37, 19:59)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18:37 ± 02:08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d=62</w:t>
            </w:r>
          </w:p>
        </w:tc>
        <w:tc>
          <w:tcPr>
            <w:tcW w:type="dxa" w:w="1640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19:34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(18:04, 20:42)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19:16 ± 02:28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d=89</w:t>
            </w:r>
          </w:p>
        </w:tc>
        <w:tc>
          <w:tcPr>
            <w:tcW w:type="dxa" w:w="1469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17:37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(15:35, 19:09)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17:18 ± 02:44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d=121</w:t>
            </w:r>
          </w:p>
        </w:tc>
        <w:tc>
          <w:tcPr>
            <w:tcW w:type="dxa" w:w="1555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19:50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(18:37, 20:50)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19:33 ± 02:11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d=53</w:t>
            </w:r>
          </w:p>
        </w:tc>
        <w:tc>
          <w:tcPr>
            <w:tcW w:type="dxa" w:w="1469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17:48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(16:46, 19:19)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18:01 ± 02:21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d=106</w:t>
            </w:r>
          </w:p>
        </w:tc>
        <w:tc>
          <w:tcPr>
            <w:tcW w:type="dxa" w:w="1555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(17:02, 19:38)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18:23 ± 02:15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d=89</w:t>
            </w:r>
          </w:p>
        </w:tc>
        <w:tc>
          <w:tcPr>
            <w:tcW w:type="dxa" w:w="1469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15:45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(13:20, 16:38)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15:22 ± 02:38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d=28</w:t>
            </w:r>
          </w:p>
        </w:tc>
        <w:tc>
          <w:tcPr>
            <w:tcW w:type="dxa" w:w="1384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15:54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(14:34, 17:25)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15:46 ± 02:13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d=66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6" name="Picture 16" descr="Last light timing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Mean timing of exposure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Average bright-light timing; summarizes the phase of daily circadian stimulation.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(12:29, 14:39)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13:31 ± 01:52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d=742</w:t>
            </w:r>
          </w:p>
        </w:tc>
        <w:tc>
          <w:tcPr>
            <w:tcW w:type="dxa" w:w="1555"/>
            <w:vAlign w:val="center"/>
            <w:shd w:fill="F0F4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13:20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(12:29, 14:24)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13:21 ± 01:25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d=72</w:t>
            </w:r>
          </w:p>
        </w:tc>
        <w:tc>
          <w:tcPr>
            <w:tcW w:type="dxa" w:w="1555"/>
            <w:vAlign w:val="center"/>
            <w:shd w:fill="EBF0EC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(13:13, 15:06)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14:02 ± 01:41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d=71</w:t>
            </w:r>
          </w:p>
        </w:tc>
        <w:tc>
          <w:tcPr>
            <w:tcW w:type="dxa" w:w="1640"/>
            <w:vAlign w:val="center"/>
            <w:shd w:fill="F5F4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(12:28, 14:55)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13:51 ± 01:56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d=93</w:t>
            </w:r>
          </w:p>
        </w:tc>
        <w:tc>
          <w:tcPr>
            <w:tcW w:type="dxa" w:w="1469"/>
            <w:vAlign w:val="center"/>
            <w:shd w:fill="F5F4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13:17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(12:17, 14:31)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13:24 ± 01:45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d=138</w:t>
            </w:r>
          </w:p>
        </w:tc>
        <w:tc>
          <w:tcPr>
            <w:tcW w:type="dxa" w:w="1555"/>
            <w:vAlign w:val="center"/>
            <w:shd w:fill="F5F4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(12:58, 15:25)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14:09 ± 02:22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d=55</w:t>
            </w:r>
          </w:p>
        </w:tc>
        <w:tc>
          <w:tcPr>
            <w:tcW w:type="dxa" w:w="1469"/>
            <w:vAlign w:val="center"/>
            <w:shd w:fill="F4EF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(12:55, 14:29)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13:47 ± 01:33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d=117</w:t>
            </w:r>
          </w:p>
        </w:tc>
        <w:tc>
          <w:tcPr>
            <w:tcW w:type="dxa" w:w="1555"/>
            <w:vAlign w:val="center"/>
            <w:shd w:fill="ECEB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(12:54, 14:58)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14:04 ± 01:39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d=94</w:t>
            </w:r>
          </w:p>
        </w:tc>
        <w:tc>
          <w:tcPr>
            <w:tcW w:type="dxa" w:w="1469"/>
            <w:vAlign w:val="center"/>
            <w:shd w:fill="EDF2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(10:28, 12:38)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11:26 ± 01:36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d=31</w:t>
            </w:r>
          </w:p>
        </w:tc>
        <w:tc>
          <w:tcPr>
            <w:tcW w:type="dxa" w:w="1384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12:17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(11:04, 13:04)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12:11 ± 01:36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d=71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7" name="Picture 17" descr="Mean timing of exposure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/>
          <w:i w:val="0"/>
          <w:color w:val="444444"/>
          <w:sz w:val="18"/>
        </w:rPr>
        <w:t>Median</w:t>
      </w:r>
      <w:r>
        <w:rPr>
          <w:rFonts w:ascii="Arial" w:hAnsi="Arial"/>
          <w:b w:val="0"/>
          <w:i w:val="0"/>
          <w:color w:val="444444"/>
          <w:sz w:val="18"/>
        </w:rPr>
        <w:t xml:space="preserve"> (25th percentile, 75th percentile), </w:t>
      </w:r>
      <w:r>
        <w:rPr>
          <w:rFonts w:ascii="Arial" w:hAnsi="Arial"/>
          <w:b w:val="0"/>
          <w:i/>
          <w:color w:val="444444"/>
          <w:sz w:val="18"/>
        </w:rPr>
        <w:t>circular or arithmetic mean ± standard deviation</w:t>
      </w:r>
      <w:r>
        <w:rPr>
          <w:rFonts w:ascii="Arial" w:hAnsi="Arial"/>
          <w:b w:val="0"/>
          <w:i w:val="0"/>
          <w:color w:val="444444"/>
          <w:sz w:val="18"/>
        </w:rPr>
        <w:t xml:space="preserve">, </w:t>
      </w:r>
      <w:r>
        <w:rPr>
          <w:rFonts w:ascii="Arial" w:hAnsi="Arial"/>
          <w:b w:val="0"/>
          <w:i w:val="0"/>
          <w:color w:val="808080"/>
          <w:sz w:val="18"/>
        </w:rPr>
        <w:t>N=participants; d=participant-days with a finite value for that metric</w:t>
      </w:r>
      <w:r>
        <w:rPr>
          <w:rFonts w:ascii="Arial" w:hAnsi="Arial"/>
          <w:b w:val="0"/>
          <w:i w:val="0"/>
          <w:color w:val="444444"/>
          <w:sz w:val="18"/>
        </w:rPr>
        <w:t>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1</w:t>
      </w:r>
      <w:r>
        <w:rPr>
          <w:rFonts w:ascii="Arial" w:hAnsi="Arial"/>
          <w:b w:val="0"/>
          <w:i w:val="0"/>
          <w:color w:val="444444"/>
          <w:sz w:val="18"/>
        </w:rPr>
        <w:t xml:space="preserve"> The brief meaning and relevance notes describe established physiological constructs; this descriptive table does not estimate individual health effects.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2</w:t>
      </w:r>
      <w:r>
        <w:rPr>
          <w:rFonts w:ascii="Arial" w:hAnsi="Arial"/>
          <w:b w:val="0"/>
          <w:i w:val="0"/>
          <w:color w:val="444444"/>
          <w:sz w:val="18"/>
        </w:rPr>
        <w:t xml:space="preserve"> Scaling describes the distribution column only; printed values remain on their stated scale. Symlog uses base 10 with a linear region through 1 in the stated unit; Identity is linear; Circular clock unwraps values around the metric-specific clock centre.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3</w:t>
      </w:r>
      <w:r>
        <w:rPr>
          <w:rFonts w:ascii="Arial" w:hAnsi="Arial"/>
          <w:b w:val="0"/>
          <w:i w:val="0"/>
          <w:color w:val="444444"/>
          <w:sz w:val="18"/>
        </w:rPr>
        <w:t xml:space="preserve"> Red lines indicate site medians. Symlog and circular-clock rows are transformed only for plotting.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S2.</w:t>
      </w:r>
      <w:r>
        <w:rPr>
          <w:rFonts w:ascii="Arial" w:hAnsi="Arial"/>
          <w:b w:val="0"/>
          <w:i w:val="0"/>
          <w:color w:val="333333"/>
          <w:sz w:val="20"/>
        </w:rPr>
        <w:t xml:space="preserve"> Definitions, exact support, median (interquartile range) summaries, and density displays for the 17 near-eye personal light-exposure metrics overall and by site. Values use three decimal places where applicable. Metrics are distinct summaries and should not be interpreted as interchangeable outcomes.</w:t>
      </w:r>
    </w:p>
    <w:sectPr w:rsidR="00597312" w:rsidRPr="00791F7F" w:rsidSect="0000781E">
      <w:footerReference w:type="even" r:id="rId8"/>
      <w:footerReference w:type="default" r:id="rId9"/>
      <w:pgSz w:w="23818" w:h="16834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