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5.png" ContentType="image/png"/>
  <Override PartName="/word/media/rId18.png" ContentType="image/png"/>
  <Override PartName="/word/media/rId32.png" ContentType="image/png"/>
  <Override PartName="/word/media/rId256.png" ContentType="image/png"/>
  <Override PartName="/word/media/rId301.png" ContentType="image/png"/>
  <Override PartName="/word/media/rId289.png" ContentType="image/png"/>
  <Override PartName="/word/media/rId268.png" ContentType="image/png"/>
  <Override PartName="/word/media/rId259.png" ContentType="image/png"/>
  <Override PartName="/word/media/rId280.png" ContentType="image/png"/>
  <Override PartName="/word/media/rId274.png" ContentType="image/png"/>
  <Override PartName="/word/media/rId298.png" ContentType="image/png"/>
  <Override PartName="/word/media/rId277.png" ContentType="image/png"/>
  <Override PartName="/word/media/rId253.png" ContentType="image/png"/>
  <Override PartName="/word/media/rId286.png" ContentType="image/png"/>
  <Override PartName="/word/media/rId271.png" ContentType="image/png"/>
  <Override PartName="/word/media/rId262.png" ContentType="image/png"/>
  <Override PartName="/word/media/rId265.png" ContentType="image/png"/>
  <Override PartName="/word/media/rId292.png" ContentType="image/png"/>
  <Override PartName="/word/media/rId295.png" ContentType="image/png"/>
  <Override PartName="/word/media/rId2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multiscale architecture of personal light exposure</w:t>
      </w:r>
    </w:p>
    <w:p>
      <w:pPr>
        <w:pStyle w:val="Author"/>
      </w:pPr>
      <w:r>
        <w:t xml:space="preserve">Johannes Zauner</w:t>
      </w:r>
    </w:p>
    <w:p>
      <w:pPr>
        <w:pStyle w:val="Author"/>
      </w:pPr>
      <w:r>
        <w:t xml:space="preserve">Altug Didikoglu</w:t>
      </w:r>
    </w:p>
    <w:p>
      <w:pPr>
        <w:pStyle w:val="Author"/>
      </w:pPr>
      <w:r>
        <w:t xml:space="preserve">Sam Aerts</w:t>
      </w:r>
    </w:p>
    <w:p>
      <w:pPr>
        <w:pStyle w:val="Author"/>
      </w:pPr>
      <w:r>
        <w:t xml:space="preserve">Gabriel Kwaku Agbeshie</w:t>
      </w:r>
    </w:p>
    <w:p>
      <w:pPr>
        <w:pStyle w:val="Author"/>
      </w:pPr>
      <w:r>
        <w:t xml:space="preserve">Kwadwo Owusu Akuffo</w:t>
      </w:r>
    </w:p>
    <w:p>
      <w:pPr>
        <w:pStyle w:val="Author"/>
      </w:pPr>
      <w:r>
        <w:t xml:space="preserve">Sena Gulsum Akgun</w:t>
      </w:r>
    </w:p>
    <w:p>
      <w:pPr>
        <w:pStyle w:val="Author"/>
      </w:pPr>
      <w:r>
        <w:t xml:space="preserve">Sema Nur Aydin</w:t>
      </w:r>
    </w:p>
    <w:p>
      <w:pPr>
        <w:pStyle w:val="Author"/>
      </w:pPr>
      <w:r>
        <w:t xml:space="preserve">David Baeza Moyano</w:t>
      </w:r>
    </w:p>
    <w:p>
      <w:pPr>
        <w:pStyle w:val="Author"/>
      </w:pPr>
      <w:r>
        <w:t xml:space="preserve">Daan Boesten</w:t>
      </w:r>
    </w:p>
    <w:p>
      <w:pPr>
        <w:pStyle w:val="Author"/>
      </w:pPr>
      <w:r>
        <w:t xml:space="preserve">John F.B. Bolte</w:t>
      </w:r>
    </w:p>
    <w:p>
      <w:pPr>
        <w:pStyle w:val="Author"/>
      </w:pPr>
      <w:r>
        <w:t xml:space="preserve">Kai Broszio</w:t>
      </w:r>
    </w:p>
    <w:p>
      <w:pPr>
        <w:pStyle w:val="Author"/>
      </w:pPr>
      <w:r>
        <w:t xml:space="preserve">Guadalupe Cantarero García</w:t>
      </w:r>
    </w:p>
    <w:p>
      <w:pPr>
        <w:pStyle w:val="Author"/>
      </w:pPr>
      <w:r>
        <w:t xml:space="preserve">Roberto Alonso González Lezcano</w:t>
      </w:r>
    </w:p>
    <w:p>
      <w:pPr>
        <w:pStyle w:val="Author"/>
      </w:pPr>
      <w:r>
        <w:t xml:space="preserve">Carolina Guidolin</w:t>
      </w:r>
    </w:p>
    <w:p>
      <w:pPr>
        <w:pStyle w:val="Author"/>
      </w:pPr>
      <w:r>
        <w:t xml:space="preserve">Sarina Hilden</w:t>
      </w:r>
    </w:p>
    <w:p>
      <w:pPr>
        <w:pStyle w:val="Author"/>
      </w:pPr>
      <w:r>
        <w:t xml:space="preserve">Nico Hogervorst</w:t>
      </w:r>
    </w:p>
    <w:p>
      <w:pPr>
        <w:pStyle w:val="Author"/>
      </w:pPr>
      <w:r>
        <w:t xml:space="preserve">Astrid Jansen</w:t>
      </w:r>
    </w:p>
    <w:p>
      <w:pPr>
        <w:pStyle w:val="Author"/>
      </w:pPr>
      <w:r>
        <w:t xml:space="preserve">Zeynep Kayar</w:t>
      </w:r>
    </w:p>
    <w:p>
      <w:pPr>
        <w:pStyle w:val="Author"/>
      </w:pPr>
      <w:r>
        <w:t xml:space="preserve">Stefan Källberg</w:t>
      </w:r>
    </w:p>
    <w:p>
      <w:pPr>
        <w:pStyle w:val="Author"/>
      </w:pPr>
      <w:r>
        <w:t xml:space="preserve">Suyoun Lee</w:t>
      </w:r>
    </w:p>
    <w:p>
      <w:pPr>
        <w:pStyle w:val="Author"/>
      </w:pPr>
      <w:r>
        <w:t xml:space="preserve">Sofía Melero Tur</w:t>
      </w:r>
    </w:p>
    <w:p>
      <w:pPr>
        <w:pStyle w:val="Author"/>
      </w:pPr>
      <w:r>
        <w:t xml:space="preserve">Maria Nilsson Tengelin</w:t>
      </w:r>
    </w:p>
    <w:p>
      <w:pPr>
        <w:pStyle w:val="Author"/>
      </w:pPr>
      <w:r>
        <w:t xml:space="preserve">María Concepción Pérez Gutiérrez</w:t>
      </w:r>
    </w:p>
    <w:p>
      <w:pPr>
        <w:pStyle w:val="Author"/>
      </w:pPr>
      <w:r>
        <w:t xml:space="preserve">Andrea Sancho-Salas</w:t>
      </w:r>
    </w:p>
    <w:p>
      <w:pPr>
        <w:pStyle w:val="Author"/>
      </w:pPr>
      <w:r>
        <w:t xml:space="preserve">Oliver Stefani</w:t>
      </w:r>
    </w:p>
    <w:p>
      <w:pPr>
        <w:pStyle w:val="Author"/>
      </w:pPr>
      <w:r>
        <w:t xml:space="preserve">Ingemar Svensson</w:t>
      </w:r>
    </w:p>
    <w:p>
      <w:pPr>
        <w:pStyle w:val="Author"/>
      </w:pPr>
      <w:r>
        <w:t xml:space="preserve">Helga von-Breymann</w:t>
      </w:r>
    </w:p>
    <w:p>
      <w:pPr>
        <w:pStyle w:val="Author"/>
      </w:pPr>
      <w:r>
        <w:t xml:space="preserve">Manuel Spitschan</w:t>
      </w:r>
    </w:p>
    <w:p>
      <w:pPr>
        <w:pStyle w:val="Date"/>
      </w:pPr>
      <w:r>
        <w:t xml:space="preserve">2026-08-21</w:t>
      </w:r>
    </w:p>
    <w:p>
      <w:pPr>
        <w:pStyle w:val="AbstractTitle"/>
      </w:pPr>
      <w:r>
        <w:t xml:space="preserve">Abstract</w:t>
      </w:r>
    </w:p>
    <w:p>
      <w:pPr>
        <w:pStyle w:val="Abstract"/>
      </w:pPr>
      <w:r>
        <w:t xml:space="preserve">Personal light exposure is associated with sleep and non-communicable diseases, but its architecture remains unresolved. We analysed 191 adults at nine sites in seven countries; 184 contributed 1,478 participant-days, including near-eye data from 141 adults and 816 participant-days and complementary chest data from 154 adults and 902 participant-days. Near-eye exposure followed a 24-hour rhythm structured across several scales. The shared local-clock pattern received 78.9% of in-sample model-fit credit, participant patterns 12.9%, participant-day shifts 6.2% and site patterns 2.0%. Separately, participant patterns were 1.80 times as dispersed as site patterns. Reported light source and immediate setting produced large contrasts and received the next-largest allocations after time of day: 24.2% and 30.7% in separate exploratory in-sample decompositions. Site, civil-photoperiod and measured person-level associations were metric-specific. Only 24.0% of waking daytime minutes reached the recommended exposure. This study provides a multiscale observational account of the amplitude and everyday organisation of ocular light exposure.</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Existing studies establish population relevance but mostly measured broad-spectrum light at the wrist or bedside,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primary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to establish a multisite baseline against the recommendation windows and quantify contributions from local-clock pattern, site and photoperiod, participant and participant-day, immediate environment and routine, and selected person-level correlates. These nested contributions define the multiscale architecture of personal light exposure. Although not global, the protocol enables harmonised measurement elsewhere, progressively closing gaps across locations, civil photoperiods, latitudes and climates and building towards a global account of ocular light exposure.</w:t>
      </w:r>
    </w:p>
    <w:bookmarkStart w:id="39" w:name="results"/>
    <w:p>
      <w:pPr>
        <w:pStyle w:val="berschrift1"/>
      </w:pPr>
      <w:r>
        <w:t xml:space="preserve">Results</w:t>
      </w:r>
    </w:p>
    <w:bookmarkStart w:id="24"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primary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21" w:name="fig-study-overview"/>
          <w:p>
            <w:pPr>
              <w:pStyle w:val="Compact"/>
              <w:jc w:val="center"/>
            </w:pPr>
            <w:r>
              <w:drawing>
                <wp:inline>
                  <wp:extent cx="5727700" cy="5454952"/>
                  <wp:effectExtent b="0" l="0" r="0" t="0"/>
                  <wp:docPr descr="" title="" id="19" name="Picture"/>
                  <a:graphic>
                    <a:graphicData uri="http://schemas.openxmlformats.org/drawingml/2006/picture">
                      <pic:pic>
                        <pic:nvPicPr>
                          <pic:cNvPr descr="../../artifacts/10_figures/descriptives/descriptive_overview.png" id="20" name="Picture"/>
                          <pic:cNvPicPr>
                            <a:picLocks noChangeArrowheads="1" noChangeAspect="1"/>
                          </pic:cNvPicPr>
                        </pic:nvPicPr>
                        <pic:blipFill>
                          <a:blip r:embed="rId18"/>
                          <a:stretch>
                            <a:fillRect/>
                          </a:stretch>
                        </pic:blipFill>
                        <pic:spPr bwMode="auto">
                          <a:xfrm>
                            <a:off x="0" y="0"/>
                            <a:ext cx="5727700" cy="5454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1"/>
        </w:tc>
      </w:tr>
    </w:tbl>
    <w:p>
      <w:pPr>
        <w:pStyle w:val="Textkrper"/>
      </w:pPr>
      <w:r>
        <w:t xml:space="preserve"> </w:t>
      </w:r>
    </w:p>
    <w:tbl>
      <w:tblPr>
        <w:tblStyle w:val="Table"/>
        <w:tblW w:type="pct" w:w="5000"/>
        <w:tblLayout w:type="fixed"/>
        <w:tblLook w:firstRow="0" w:lastRow="0" w:firstColumn="0" w:lastColumn="0" w:noHBand="0" w:noVBand="0" w:val="0000"/>
      </w:tblPr>
      <w:tblGrid>
        <w:gridCol w:w="7920"/>
      </w:tblGrid>
      <w:tr>
        <w:tc>
          <w:tcPr/>
          <w:bookmarkStart w:id="22"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22"/>
          <w:p/>
        </w:tc>
      </w:tr>
    </w:tbl>
    <w:p>
      <w:pPr>
        <w:pStyle w:val="Textkrper"/>
      </w:pPr>
      <w:r>
        <w:t xml:space="preserve">Recommendation-range coverage differed across windows. Of 573,712 waking daytime minutes, 137,792, or 24.0%, reached at least 250 lx melanopic EDI; of 129,390 minutes in pre-sleep, 81,894, or 63.3%, were at or below 10 lx; and of 383,366 minutes during reported sleep, 336,052, or 87.7%, were at or below 1 lx.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A descriptive response-scale partition assigned 58.4% to fixed predictors, a further 2.2 percentage points to the participant intercept and 39.4% to observation and distribution variation, giving conditional R² of 60.6%. Within fixed-predictor variance, Shapley weights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tbl>
      <w:tblPr>
        <w:tblStyle w:val="Table"/>
        <w:tblW w:type="pct" w:w="5000"/>
        <w:tblLayout w:type="fixed"/>
        <w:tblLook w:firstRow="0" w:lastRow="0" w:firstColumn="0" w:lastColumn="0" w:noHBand="0" w:noVBand="0" w:val="0000"/>
      </w:tblPr>
      <w:tblGrid>
        <w:gridCol w:w="7920"/>
      </w:tblGrid>
      <w:tr>
        <w:tc>
          <w:tcPr/>
          <w:bookmarkStart w:id="23" w:name="tbl-brown-adherence"/>
          <w:p>
            <w:pPr>
              <w:jc w:val="center"/>
            </w:pPr>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Recommendation adherence by recommendation window and day type</w:t>
                  </w:r>
                </w:p>
              </w:tc>
            </w:tr>
            <w:tr>
              <w:trPr>
                <w:tblHeader w:val="on"/>
              </w:trPr>
              <w:tc>
                <w:tcPr>
                  <w:vMerge w:val="restart"/>
                </w:tcPr>
                <w:p>
                  <w:pPr>
                    <w:pStyle w:val="Compact"/>
                  </w:pPr>
                </w:p>
              </w:tc>
              <w:tc>
                <w:tcPr>
                  <w:vMerge w:val="restart"/>
                </w:tcPr>
                <w:p>
                  <w:pPr>
                    <w:pStyle w:val="Compact"/>
                    <w:jc w:val="center"/>
                  </w:pPr>
                  <w:r>
                    <w:t xml:space="preserve">Recommendation</w:t>
                  </w:r>
                </w:p>
              </w:tc>
              <w:tc>
                <w:tcPr/>
                <w:p>
                  <w:pPr>
                    <w:pStyle w:val="Compact"/>
                    <w:jc w:val="center"/>
                  </w:pPr>
                  <w:r>
                    <w:t xml:space="preserve">Observed minute-level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Minutes meeting recommendation, n/N (%)</w:t>
                  </w:r>
                </w:p>
              </w:tc>
              <w:tc>
                <w:tcPr/>
                <w:p>
                  <w:pPr>
                    <w:pStyle w:val="Compact"/>
                    <w:jc w:val="center"/>
                  </w:pPr>
                  <w:r>
                    <w:t xml:space="preserve">Work day, % (95% CI)</w:t>
                  </w:r>
                </w:p>
              </w:tc>
              <w:tc>
                <w:tcPr/>
                <w:p>
                  <w:pPr>
                    <w:pStyle w:val="Compact"/>
                    <w:jc w:val="center"/>
                  </w:pPr>
                  <w:r>
                    <w:t xml:space="preserve">Free day, % (95% CI)</w:t>
                  </w:r>
                </w:p>
              </w:tc>
              <w:tc>
                <w:tcPr/>
                <w:p>
                  <w:pPr>
                    <w:pStyle w:val="Compact"/>
                    <w:jc w:val="center"/>
                  </w:pPr>
                  <w:r>
                    <w:t xml:space="preserve">Free minus Work, percentage points (95% CI)</w:t>
                  </w:r>
                </w:p>
              </w:tc>
              <w:tc>
                <w:tcPr/>
                <w:p>
                  <w:pPr>
                    <w:pStyle w:val="Compact"/>
                    <w:jc w:val="center"/>
                  </w:pPr>
                  <w:r>
                    <w:t xml:space="preserve">FDR-adjusted 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 (24.0%)</w:t>
                  </w:r>
                </w:p>
              </w:tc>
              <w:tc>
                <w:tcPr/>
                <w:p>
                  <w:pPr>
                    <w:pStyle w:val="Compact"/>
                    <w:jc w:val="center"/>
                  </w:pPr>
                  <w:r>
                    <w:t xml:space="preserve">26.5 (24.4 to 28.6)</w:t>
                  </w:r>
                </w:p>
              </w:tc>
              <w:tc>
                <w:tcPr/>
                <w:p>
                  <w:pPr>
                    <w:pStyle w:val="Compact"/>
                    <w:jc w:val="center"/>
                  </w:pPr>
                  <w:r>
                    <w:t xml:space="preserve">21.6 (19.3 to 23.9)</w:t>
                  </w:r>
                </w:p>
              </w:tc>
              <w:tc>
                <w:tcPr/>
                <w:p>
                  <w:pPr>
                    <w:pStyle w:val="Compact"/>
                    <w:jc w:val="center"/>
                  </w:pPr>
                  <w:r>
                    <w:t xml:space="preserve">-4.9 (-7.6 to -2.2)</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 (63.3%)</w:t>
                  </w:r>
                </w:p>
              </w:tc>
              <w:tc>
                <w:tcPr/>
                <w:p>
                  <w:pPr>
                    <w:pStyle w:val="Compact"/>
                    <w:jc w:val="center"/>
                  </w:pPr>
                  <w:r>
                    <w:t xml:space="preserve">61.9 (58.5 to 65.4)</w:t>
                  </w:r>
                </w:p>
              </w:tc>
              <w:tc>
                <w:tcPr/>
                <w:p>
                  <w:pPr>
                    <w:pStyle w:val="Compact"/>
                    <w:jc w:val="center"/>
                  </w:pPr>
                  <w:r>
                    <w:t xml:space="preserve">69.9 (66.3 to 73.5)</w:t>
                  </w:r>
                </w:p>
              </w:tc>
              <w:tc>
                <w:tcPr/>
                <w:p>
                  <w:pPr>
                    <w:pStyle w:val="Compact"/>
                    <w:jc w:val="center"/>
                  </w:pPr>
                  <w:r>
                    <w:t xml:space="preserve">+8.0 (+3.3 to +12.7)</w:t>
                  </w:r>
                </w:p>
              </w:tc>
              <w:tc>
                <w:tcPr/>
                <w:p>
                  <w:pPr>
                    <w:pStyle w:val="Compact"/>
                    <w:jc w:val="center"/>
                  </w:pPr>
                  <w:r>
                    <w:t xml:space="preserve">&lt;0.001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 (87.7%)</w:t>
                  </w:r>
                </w:p>
              </w:tc>
              <w:tc>
                <w:tcPr/>
                <w:p>
                  <w:pPr>
                    <w:pStyle w:val="Compact"/>
                    <w:jc w:val="center"/>
                  </w:pPr>
                  <w:r>
                    <w:t xml:space="preserve">90.3 (88.7 to 91.8)</w:t>
                  </w:r>
                </w:p>
              </w:tc>
              <w:tc>
                <w:tcPr/>
                <w:p>
                  <w:pPr>
                    <w:pStyle w:val="Compact"/>
                    <w:jc w:val="center"/>
                  </w:pPr>
                  <w:r>
                    <w:t xml:space="preserve">84.1 (81.6 to 86.7)</w:t>
                  </w:r>
                </w:p>
              </w:tc>
              <w:tc>
                <w:tcPr/>
                <w:p>
                  <w:pPr>
                    <w:pStyle w:val="Compact"/>
                    <w:jc w:val="center"/>
                  </w:pPr>
                  <w:r>
                    <w:t xml:space="preserve">-6.1 (-8.8 to -3.5)</w:t>
                  </w:r>
                </w:p>
              </w:tc>
              <w:tc>
                <w:tcPr/>
                <w:p>
                  <w:pPr>
                    <w:pStyle w:val="Compact"/>
                    <w:jc w:val="center"/>
                  </w:pPr>
                  <w:r>
                    <w:t xml:space="preserve">&lt;0.001</w:t>
                  </w:r>
                </w:p>
              </w:tc>
            </w:tr>
            <w:tr>
              <w:tc>
                <w:tcPr>
                  <w:gridSpan w:val="7"/>
                </w:tcPr>
                <w:p>
                  <w:pPr>
                    <w:pStyle w:val="Compact"/>
                    <w:jc w:val="center"/>
                  </w:pPr>
                  <w:r>
                    <w:t xml:space="preserve">Observed pooled-minute fractions and site-average model estimates are distinct estimands. Each of the nine sites contributes equally to the model estimates.</w:t>
                  </w:r>
                </w:p>
              </w:tc>
            </w:tr>
          </w:tbl>
          <w:bookmarkEnd w:id="23"/>
          <w:p/>
        </w:tc>
      </w:tr>
    </w:tbl>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4"/>
    <w:bookmarkStart w:id="29"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Conditional in-sample model-fit credit showed the same hierarchy: 78.9% for the shared local-clock curve, 12.9% for participant curves, 6.2% for participant-day shifts, and 2.0% for site curves. Participant curves received 6.41 times the site credit (3.85 to 15.14), and participant curves plus day shifts 9.49 times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in-sample R² of 0.737: common time received 79.1% of model-fit credit, participant curves 11.9%, day shifts 7.0% and site curves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28" w:name="fig-daily-architecture"/>
          <w:p>
            <w:pPr>
              <w:pStyle w:val="Compact"/>
              <w:jc w:val="center"/>
            </w:pPr>
            <w:r>
              <w:drawing>
                <wp:inline>
                  <wp:extent cx="5727700" cy="7289799"/>
                  <wp:effectExtent b="0" l="0" r="0" t="0"/>
                  <wp:docPr descr="" title="" id="26" name="Picture"/>
                  <a:graphic>
                    <a:graphicData uri="http://schemas.openxmlformats.org/drawingml/2006/picture">
                      <pic:pic>
                        <pic:nvPicPr>
                          <pic:cNvPr descr="../../artifacts/10_figures/H02/figure4_exact_layout_replication.png" id="27" name="Picture"/>
                          <pic:cNvPicPr>
                            <a:picLocks noChangeArrowheads="1" noChangeAspect="1"/>
                          </pic:cNvPicPr>
                        </pic:nvPicPr>
                        <pic:blipFill>
                          <a:blip r:embed="rId25"/>
                          <a:stretch>
                            <a:fillRect/>
                          </a:stretch>
                        </pic:blipFill>
                        <pic:spPr bwMode="auto">
                          <a:xfrm>
                            <a:off x="0" y="0"/>
                            <a:ext cx="5727700" cy="7289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28"/>
        </w:tc>
      </w:tr>
    </w:tbl>
    <w:bookmarkEnd w:id="29"/>
    <w:bookmarkStart w:id="31"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primary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30"/>
        </w:tc>
      </w:tr>
    </w:tbl>
    <w:bookmarkEnd w:id="31"/>
    <w:bookmarkStart w:id="36"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To describe model-based variance allocation, a separate exploratory mixed-effects model added a common participant intercept to site-by-light-source fixed terms. Marginal and conditional R² were 0.796 and 0.876, so the intercept added 0.080 on the model-based variance scale. Within marginal R², point allocations were 89.3% to light source, 7.1% to site and 3.7% to their interaction. A Shapley decomposition of an exploratory time-of-day model showed that global time of day received 60.4% and light-source deviations 24.2% of model-fit credit. Light source therefore accounted for 28.6% of the combined credit assigned to these two components. Site received a further 5.2%, participant patterns 7.6%, and day-to-day shifts 2.5%.</w:t>
      </w:r>
    </w:p>
    <w:p>
      <w:pPr>
        <w:pStyle w:val="Textkrper"/>
      </w:pPr>
      <w:r>
        <w:t xml:space="preserve">A separate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An exploratory mixed model of five setting categories gave model-based marginal and conditional R² of 0.766 and 0.858 near eye and 0.768 and 0.859 at the chest; the participant intercept added 0.092 at both positions. Within marginal R², immediate setting received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In a Shapley decomposition of this near-eye model, time of day received 52.5% and immediate setting 30.7% of model-fit credit. Immediate setting therefore accounted for 36.9% of the combined credit assigned to these two components. Site received a further 5.6%, participant patterns 8.4%, and day-to-day shifts 2.8%.</w:t>
      </w:r>
    </w:p>
    <w:tbl>
      <w:tblPr>
        <w:tblStyle w:val="Table"/>
        <w:tblW w:type="pct" w:w="5000"/>
        <w:tblLayout w:type="fixed"/>
        <w:tblLook w:firstRow="0" w:lastRow="0" w:firstColumn="0" w:lastColumn="0" w:noHBand="0" w:noVBand="0" w:val="0000"/>
      </w:tblPr>
      <w:tblGrid>
        <w:gridCol w:w="7920"/>
      </w:tblGrid>
      <w:tr>
        <w:tc>
          <w:tcPr/>
          <w:bookmarkStart w:id="35" w:name="fig-activity-context"/>
          <w:p>
            <w:pPr>
              <w:pStyle w:val="Compact"/>
              <w:jc w:val="center"/>
            </w:pPr>
            <w:r>
              <w:drawing>
                <wp:inline>
                  <wp:extent cx="5727700" cy="8561850"/>
                  <wp:effectExtent b="0" l="0" r="0" t="0"/>
                  <wp:docPr descr="" title="" id="33" name="Picture"/>
                  <a:graphic>
                    <a:graphicData uri="http://schemas.openxmlformats.org/drawingml/2006/picture">
                      <pic:pic>
                        <pic:nvPicPr>
                          <pic:cNvPr descr="../../audit/manuscript_nature_health/figure_table_selection_assets/H04_manuscript_figure3_selection_candidate.png" id="34" name="Picture"/>
                          <pic:cNvPicPr>
                            <a:picLocks noChangeArrowheads="1" noChangeAspect="1"/>
                          </pic:cNvPicPr>
                        </pic:nvPicPr>
                        <pic:blipFill>
                          <a:blip r:embed="rId32"/>
                          <a:stretch>
                            <a:fillRect/>
                          </a:stretch>
                        </pic:blipFill>
                        <pic:spPr bwMode="auto">
                          <a:xfrm>
                            <a:off x="0" y="0"/>
                            <a:ext cx="5727700" cy="8561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35"/>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6"/>
    <w:bookmarkStart w:id="37"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primary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37"/>
    <w:bookmarkStart w:id="38"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38"/>
    <w:bookmarkEnd w:id="39"/>
    <w:bookmarkStart w:id="40" w:name="discussion"/>
    <w:p>
      <w:pPr>
        <w:pStyle w:val="berschrift1"/>
      </w:pPr>
      <w:r>
        <w:t xml:space="preserve">Discussion</w:t>
      </w:r>
    </w:p>
    <w:p>
      <w:pPr>
        <w:pStyle w:val="FirstParagraph"/>
      </w:pPr>
      <w:r>
        <w:t xml:space="preserve">Across nine sites in seven countries, ocular light exposure followed the expected 24-hour rhythm, but its cross-site stability, amplitude and layered sources were unknown. Across analyses, the shared local-clock pattern dominated daily exposure. Separate hourly decompositions showed large light-source and immediate-setting contrasts, with the next-largest model-fit allocations after time of day. Participant curves and participant-day shifts together exceeded site curves in the daily-pattern model, while site, photoperiod and measured person-level associations were metric-specific. The main contribution of this study is not the rhythm itself, but a multiscale account of its amplitude and of how everyday life reorganises exposure. Because these analyses used different outcomes and decompositions, this 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received substantially more in-sample model-fit credit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near-eye exposure relative to physiology-based recommendations, shows that variation among people and days within sites matters, and identifies temporal, contextual and positional information for future cohorts. Taken together,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therefore offers a practical route from circadian biology to precision prevention and context-sensitive environmental health.</w:t>
      </w:r>
    </w:p>
    <w:bookmarkEnd w:id="40"/>
    <w:bookmarkStart w:id="55" w:name="methods"/>
    <w:p>
      <w:pPr>
        <w:pStyle w:val="berschrift1"/>
      </w:pPr>
      <w:r>
        <w:t xml:space="preserve">Methods</w:t>
      </w:r>
    </w:p>
    <w:bookmarkStart w:id="41"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46</w:t>
        </w:r>
      </w:hyperlink>
      <w:r>
        <w:t xml:space="preserve">.</w:t>
      </w:r>
    </w:p>
    <w:bookmarkEnd w:id="41"/>
    <w:bookmarkStart w:id="42"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47</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2"/>
    <w:bookmarkStart w:id="43"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primary device centrally on non-prescription spectacle frames near the eye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primary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48</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3"/>
    <w:bookmarkStart w:id="44"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49</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50</w:t>
        </w:r>
      </w:hyperlink>
      <w:r>
        <w:rPr>
          <w:vertAlign w:val="superscript"/>
        </w:rPr>
        <w:t xml:space="preserve">–</w:t>
      </w:r>
      <w:hyperlink w:anchor="ref-sischka2020">
        <w:r>
          <w:rPr>
            <w:rStyle w:val="Hyperlink"/>
            <w:vertAlign w:val="superscript"/>
          </w:rPr>
          <w:t xml:space="preserve">52</w:t>
        </w:r>
      </w:hyperlink>
      <w:r>
        <w:t xml:space="preserve">. Smartphone measures and baseline or end-of-study questionnaires used MyCap integrated with REDCap</w:t>
      </w:r>
      <w:hyperlink w:anchor="ref-harris2022">
        <w:r>
          <w:rPr>
            <w:rStyle w:val="Hyperlink"/>
            <w:vertAlign w:val="superscript"/>
          </w:rPr>
          <w:t xml:space="preserve">53</w:t>
        </w:r>
      </w:hyperlink>
      <w:r>
        <w:rPr>
          <w:vertAlign w:val="superscript"/>
        </w:rPr>
        <w:t xml:space="preserve">,</w:t>
      </w:r>
      <w:hyperlink w:anchor="ref-patridge2018">
        <w:r>
          <w:rPr>
            <w:rStyle w:val="Hyperlink"/>
            <w:vertAlign w:val="superscript"/>
          </w:rPr>
          <w:t xml:space="preserve">54</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55</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56</w:t>
        </w:r>
      </w:hyperlink>
      <w:r>
        <w:rPr>
          <w:vertAlign w:val="superscript"/>
        </w:rPr>
        <w:t xml:space="preserve">,</w:t>
      </w:r>
      <w:hyperlink w:anchor="ref-horne1976">
        <w:r>
          <w:rPr>
            <w:rStyle w:val="Hyperlink"/>
            <w:vertAlign w:val="superscript"/>
          </w:rPr>
          <w:t xml:space="preserve">57</w:t>
        </w:r>
      </w:hyperlink>
      <w:r>
        <w:t xml:space="preserve">. Visual sensitivity used the VLSQ-8</w:t>
      </w:r>
      <w:hyperlink w:anchor="ref-verriotto2017">
        <w:r>
          <w:rPr>
            <w:rStyle w:val="Hyperlink"/>
            <w:vertAlign w:val="superscript"/>
          </w:rPr>
          <w:t xml:space="preserve">58</w:t>
        </w:r>
      </w:hyperlink>
      <w:r>
        <w:t xml:space="preserve">, sleep environment used the Assessment of Sleep Environment</w:t>
      </w:r>
      <w:hyperlink w:anchor="ref-grandner2022">
        <w:r>
          <w:rPr>
            <w:rStyle w:val="Hyperlink"/>
            <w:vertAlign w:val="superscript"/>
          </w:rPr>
          <w:t xml:space="preserve">59</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60</w:t>
        </w:r>
      </w:hyperlink>
      <w:r>
        <w:t xml:space="preserve">. Biological sex and gender were recorded as separate variables. Models analysed biological sex, coded Female or Male, but did not analyse gender; its recorded category matched biological sex in all but one case.</w:t>
      </w:r>
    </w:p>
    <w:bookmarkEnd w:id="44"/>
    <w:bookmarkStart w:id="45"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5"/>
    <w:bookmarkStart w:id="46"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61</w:t>
        </w:r>
      </w:hyperlink>
      <w:r>
        <w:t xml:space="preserve"> </w:t>
      </w:r>
      <w:r>
        <w:t xml:space="preserve">with LightLogR</w:t>
      </w:r>
      <w:hyperlink w:anchor="ref-LightLogR">
        <w:r>
          <w:rPr>
            <w:rStyle w:val="Hyperlink"/>
            <w:vertAlign w:val="superscript"/>
          </w:rPr>
          <w:t xml:space="preserve">62</w:t>
        </w:r>
      </w:hyperlink>
      <w:r>
        <w:rPr>
          <w:vertAlign w:val="superscript"/>
        </w:rPr>
        <w:t xml:space="preserve">,</w:t>
      </w:r>
      <w:hyperlink w:anchor="ref-hartmeyer2023">
        <w:r>
          <w:rPr>
            <w:rStyle w:val="Hyperlink"/>
            <w:vertAlign w:val="superscript"/>
          </w:rPr>
          <w:t xml:space="preserve">63</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64</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6"/>
    <w:bookmarkStart w:id="47"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primary-record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47"/>
    <w:bookmarkStart w:id="48"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65</w:t>
        </w:r>
      </w:hyperlink>
      <w:r>
        <w:rPr>
          <w:vertAlign w:val="superscript"/>
        </w:rPr>
        <w:t xml:space="preserve">–</w:t>
      </w:r>
      <w:hyperlink w:anchor="ref-pedersen2019">
        <w:r>
          <w:rPr>
            <w:rStyle w:val="Hyperlink"/>
            <w:vertAlign w:val="superscript"/>
          </w:rPr>
          <w:t xml:space="preserve">68</w:t>
        </w:r>
      </w:hyperlink>
      <w:r>
        <w:t xml:space="preserve">. A boundary-aware first-order autoregressive working structure prevented residual sequences from crossing participant-day, clock-repeat or gap boundaries. Fitted-curve dispersion was compared on a common 48-bin grid. Conditional Shapley allocation averaged each component’s in-sample model-fit credit across all component orders, thereby distributing shared fitted information rather than assigning causal or predictive importance</w:t>
      </w:r>
      <w:hyperlink w:anchor="ref-azen2003">
        <w:r>
          <w:rPr>
            <w:rStyle w:val="Hyperlink"/>
            <w:vertAlign w:val="superscript"/>
          </w:rPr>
          <w:t xml:space="preserve">69</w:t>
        </w:r>
      </w:hyperlink>
      <w:r>
        <w:rPr>
          <w:vertAlign w:val="superscript"/>
        </w:rPr>
        <w:t xml:space="preserve">,</w:t>
      </w:r>
      <w:hyperlink w:anchor="ref-groemping2007">
        <w:r>
          <w:rPr>
            <w:rStyle w:val="Hyperlink"/>
            <w:vertAlign w:val="superscript"/>
          </w:rPr>
          <w:t xml:space="preserve">70</w:t>
        </w:r>
      </w:hyperlink>
      <w:r>
        <w:t xml:space="preserve">. Confidence intervals for dispersion and allocation ratios used 2,000 hierarchical cluster resamples while holding the fitted model structure fixed.</w:t>
      </w:r>
    </w:p>
    <w:bookmarkEnd w:id="48"/>
    <w:bookmarkStart w:id="49"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We treated overall site differences, civil photoperiod,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73</w:t>
        </w:r>
      </w:hyperlink>
      <w:r>
        <w:rPr>
          <w:vertAlign w:val="superscript"/>
        </w:rPr>
        <w:t xml:space="preserve">–</w:t>
      </w:r>
      <w:hyperlink w:anchor="ref-performance">
        <w:r>
          <w:rPr>
            <w:rStyle w:val="Hyperlink"/>
            <w:vertAlign w:val="superscript"/>
          </w:rPr>
          <w:t xml:space="preserve">75</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76</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77</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49"/>
    <w:bookmarkStart w:id="50"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74</w:t>
        </w:r>
      </w:hyperlink>
      <w:r>
        <w:rPr>
          <w:vertAlign w:val="superscript"/>
        </w:rPr>
        <w:t xml:space="preserve">,</w:t>
      </w:r>
      <w:hyperlink w:anchor="ref-performance">
        <w:r>
          <w:rPr>
            <w:rStyle w:val="Hyperlink"/>
            <w:vertAlign w:val="superscript"/>
          </w:rPr>
          <w:t xml:space="preserve">75</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0"/>
    <w:bookmarkStart w:id="51"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1"/>
    <w:bookmarkStart w:id="52"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78</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61</w:t>
        </w:r>
      </w:hyperlink>
      <w:r>
        <w:rPr>
          <w:vertAlign w:val="superscript"/>
        </w:rPr>
        <w:t xml:space="preserve">,</w:t>
      </w:r>
      <w:hyperlink w:anchor="ref-tidyverse">
        <w:r>
          <w:rPr>
            <w:rStyle w:val="Hyperlink"/>
            <w:vertAlign w:val="superscript"/>
          </w:rPr>
          <w:t xml:space="preserve">79</w:t>
        </w:r>
      </w:hyperlink>
      <w:r>
        <w:t xml:space="preserve">. Exact package versions, formulas, inputs and output files are documented in the Supplementary Information and reproducibility records.</w:t>
      </w:r>
    </w:p>
    <w:bookmarkEnd w:id="52"/>
    <w:bookmarkStart w:id="53"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80</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3"/>
    <w:bookmarkStart w:id="54"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4"/>
    <w:bookmarkEnd w:id="55"/>
    <w:bookmarkStart w:id="58" w:name="data-availability"/>
    <w:p>
      <w:pPr>
        <w:pStyle w:val="berschrift1"/>
      </w:pPr>
      <w:r>
        <w:t xml:space="preserve">Data availability</w:t>
      </w:r>
    </w:p>
    <w:p>
      <w:pPr>
        <w:pStyle w:val="FirstParagraph"/>
      </w:pPr>
      <w:r>
        <w:t xml:space="preserve">All data used in this study are available through the</w:t>
      </w:r>
      <w:r>
        <w:t xml:space="preserve"> </w:t>
      </w:r>
      <w:hyperlink r:id="rId56">
        <w:r>
          <w:rPr>
            <w:rStyle w:val="Hyperlink"/>
          </w:rPr>
          <w:t xml:space="preserve">MeLiDos Project GitHub organisation</w:t>
        </w:r>
      </w:hyperlink>
      <w:r>
        <w:t xml:space="preserve"> </w:t>
      </w:r>
      <w:r>
        <w:t xml:space="preserve">and are archived in the</w:t>
      </w:r>
      <w:r>
        <w:t xml:space="preserve"> </w:t>
      </w:r>
      <w:hyperlink r:id="rId57">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81</w:t>
        </w:r>
      </w:hyperlink>
      <w:r>
        <w:rPr>
          <w:vertAlign w:val="superscript"/>
        </w:rPr>
        <w:t xml:space="preserve">–</w:t>
      </w:r>
      <w:hyperlink w:anchor="ref-aerts2025">
        <w:r>
          <w:rPr>
            <w:rStyle w:val="Hyperlink"/>
            <w:vertAlign w:val="superscript"/>
          </w:rPr>
          <w:t xml:space="preserve">89</w:t>
        </w:r>
      </w:hyperlink>
      <w:r>
        <w:t xml:space="preserve">. These records and other project resources are indexed through the MeLiDos Project Data Hub</w:t>
      </w:r>
      <w:hyperlink w:anchor="ref-zauner2026a">
        <w:r>
          <w:rPr>
            <w:rStyle w:val="Hyperlink"/>
            <w:vertAlign w:val="superscript"/>
          </w:rPr>
          <w:t xml:space="preserve">90</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91</w:t>
        </w:r>
      </w:hyperlink>
      <w:r>
        <w:t xml:space="preserve">.</w:t>
      </w:r>
    </w:p>
    <w:bookmarkEnd w:id="58"/>
    <w:bookmarkStart w:id="62" w:name="code-availability"/>
    <w:p>
      <w:pPr>
        <w:pStyle w:val="berschrift1"/>
      </w:pPr>
      <w:r>
        <w:t xml:space="preserve">Code availability</w:t>
      </w:r>
    </w:p>
    <w:p>
      <w:pPr>
        <w:pStyle w:val="FirstParagraph"/>
      </w:pPr>
      <w:r>
        <w:t xml:space="preserve">All analysis code is available in the</w:t>
      </w:r>
      <w:r>
        <w:t xml:space="preserve"> </w:t>
      </w:r>
      <w:hyperlink r:id="rId59">
        <w:r>
          <w:rPr>
            <w:rStyle w:val="Hyperlink"/>
          </w:rPr>
          <w:t xml:space="preserve">project repository</w:t>
        </w:r>
      </w:hyperlink>
      <w:r>
        <w:t xml:space="preserve">, with rendered reports on</w:t>
      </w:r>
      <w:r>
        <w:t xml:space="preserve"> </w:t>
      </w:r>
      <w:hyperlink r:id="rId60">
        <w:r>
          <w:rPr>
            <w:rStyle w:val="Hyperlink"/>
          </w:rPr>
          <w:t xml:space="preserve">GitHub Pages</w:t>
        </w:r>
      </w:hyperlink>
      <w:r>
        <w:t xml:space="preserve"> </w:t>
      </w:r>
      <w:r>
        <w:t xml:space="preserve">and an archive on</w:t>
      </w:r>
      <w:r>
        <w:t xml:space="preserve"> </w:t>
      </w:r>
      <w:hyperlink r:id="rId61">
        <w:r>
          <w:rPr>
            <w:rStyle w:val="Hyperlink"/>
          </w:rPr>
          <w:t xml:space="preserve">Zenodo</w:t>
        </w:r>
      </w:hyperlink>
      <w:r>
        <w:t xml:space="preserve">. The archived version will be reconciled with the final manuscript snapshot before submission.</w:t>
      </w:r>
    </w:p>
    <w:bookmarkEnd w:id="62"/>
    <w:bookmarkStart w:id="246" w:name="references"/>
    <w:p>
      <w:pPr>
        <w:pStyle w:val="berschrift1"/>
      </w:pPr>
      <w:r>
        <w:t xml:space="preserve">References</w:t>
      </w:r>
    </w:p>
    <w:bookmarkStart w:id="245" w:name="refs"/>
    <w:bookmarkStart w:id="64" w:name="ref-czeisler2007"/>
    <w:p>
      <w:pPr>
        <w:pStyle w:val="Literaturverzeichnis"/>
      </w:pPr>
      <w:r>
        <w:t xml:space="preserve">1.</w:t>
      </w:r>
      <w:r>
        <w:t xml:space="preserve"> </w:t>
      </w:r>
      <w:r>
        <w:t xml:space="preserve">	</w:t>
      </w:r>
      <w:r>
        <w:t xml:space="preserve">Czeisler, C. A. &amp; Gooley, J. J.</w:t>
      </w:r>
      <w:r>
        <w:t xml:space="preserve"> </w:t>
      </w:r>
      <w:hyperlink r:id="rId63">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4"/>
    <w:bookmarkStart w:id="66" w:name="ref-dijk2009"/>
    <w:p>
      <w:pPr>
        <w:pStyle w:val="Literaturverzeichnis"/>
      </w:pPr>
      <w:r>
        <w:t xml:space="preserve">2.</w:t>
      </w:r>
      <w:r>
        <w:t xml:space="preserve"> </w:t>
      </w:r>
      <w:r>
        <w:t xml:space="preserve">	</w:t>
      </w:r>
      <w:r>
        <w:t xml:space="preserve">Dijk, D.-J. &amp; Archer, S. N.</w:t>
      </w:r>
      <w:r>
        <w:t xml:space="preserve"> </w:t>
      </w:r>
      <w:hyperlink r:id="rId65">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6"/>
    <w:bookmarkStart w:id="68" w:name="ref-roenneberg2007"/>
    <w:p>
      <w:pPr>
        <w:pStyle w:val="Literaturverzeichnis"/>
      </w:pPr>
      <w:r>
        <w:t xml:space="preserve">3.</w:t>
      </w:r>
      <w:r>
        <w:t xml:space="preserve"> </w:t>
      </w:r>
      <w:r>
        <w:t xml:space="preserve">	</w:t>
      </w:r>
      <w:r>
        <w:t xml:space="preserve">Roenneberg, T. &amp; Merrow, M.</w:t>
      </w:r>
      <w:r>
        <w:t xml:space="preserve"> </w:t>
      </w:r>
      <w:hyperlink r:id="rId67">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68"/>
    <w:bookmarkStart w:id="70" w:name="ref-blume2019"/>
    <w:p>
      <w:pPr>
        <w:pStyle w:val="Literaturverzeichnis"/>
      </w:pPr>
      <w:r>
        <w:t xml:space="preserve">4.</w:t>
      </w:r>
      <w:r>
        <w:t xml:space="preserve"> </w:t>
      </w:r>
      <w:r>
        <w:t xml:space="preserve">	</w:t>
      </w:r>
      <w:r>
        <w:t xml:space="preserve">Blume, C., Garbazza, C. &amp; Spitschan, M.</w:t>
      </w:r>
      <w:r>
        <w:t xml:space="preserve"> </w:t>
      </w:r>
      <w:hyperlink r:id="rId69">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0"/>
    <w:bookmarkStart w:id="72"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1">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2"/>
    <w:bookmarkStart w:id="74"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3">
        <w:r>
          <w:rPr>
            <w:rStyle w:val="Hyperlink"/>
          </w:rPr>
          <w:t xml:space="preserve">10.25039/S026.2018</w:t>
        </w:r>
      </w:hyperlink>
      <w:r>
        <w:t xml:space="preserve">.</w:t>
      </w:r>
    </w:p>
    <w:bookmarkEnd w:id="74"/>
    <w:bookmarkStart w:id="76" w:name="ref-brown2020"/>
    <w:p>
      <w:pPr>
        <w:pStyle w:val="Literaturverzeichnis"/>
      </w:pPr>
      <w:r>
        <w:t xml:space="preserve">7.</w:t>
      </w:r>
      <w:r>
        <w:t xml:space="preserve"> </w:t>
      </w:r>
      <w:r>
        <w:t xml:space="preserve">	</w:t>
      </w:r>
      <w:r>
        <w:t xml:space="preserve">Brown, T. M.</w:t>
      </w:r>
      <w:r>
        <w:t xml:space="preserve"> </w:t>
      </w:r>
      <w:hyperlink r:id="rId75">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6"/>
    <w:bookmarkStart w:id="78"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77">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78"/>
    <w:bookmarkStart w:id="80" w:name="ref-spitschan2026a"/>
    <w:p>
      <w:pPr>
        <w:pStyle w:val="Literaturverzeichnis"/>
      </w:pPr>
      <w:r>
        <w:t xml:space="preserve">9.</w:t>
      </w:r>
      <w:r>
        <w:t xml:space="preserve"> </w:t>
      </w:r>
      <w:r>
        <w:t xml:space="preserve">	</w:t>
      </w:r>
      <w:r>
        <w:t xml:space="preserve">Spitschan, M. &amp; Zauner, J.</w:t>
      </w:r>
      <w:r>
        <w:t xml:space="preserve"> </w:t>
      </w:r>
      <w:hyperlink r:id="rId79">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0"/>
    <w:bookmarkStart w:id="82"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1">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2"/>
    <w:bookmarkStart w:id="84"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3">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4"/>
    <w:bookmarkStart w:id="86"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5">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6"/>
    <w:bookmarkStart w:id="88"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87">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88"/>
    <w:bookmarkStart w:id="90"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89">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0"/>
    <w:bookmarkStart w:id="92"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1">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2"/>
    <w:bookmarkStart w:id="94"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3">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4"/>
    <w:bookmarkStart w:id="96" w:name="ref-obayashi2016"/>
    <w:p>
      <w:pPr>
        <w:pStyle w:val="Literaturverzeichnis"/>
      </w:pPr>
      <w:r>
        <w:t xml:space="preserve">17.</w:t>
      </w:r>
      <w:r>
        <w:t xml:space="preserve"> </w:t>
      </w:r>
      <w:r>
        <w:t xml:space="preserve">	</w:t>
      </w:r>
      <w:r>
        <w:t xml:space="preserve">Obayashi, K., Saeki, K. &amp; Kurumatani, N.</w:t>
      </w:r>
      <w:r>
        <w:t xml:space="preserve"> </w:t>
      </w:r>
      <w:hyperlink r:id="rId95">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6"/>
    <w:bookmarkStart w:id="98"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97">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98"/>
    <w:bookmarkStart w:id="100"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99">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0"/>
    <w:bookmarkStart w:id="102" w:name="ref-vineis2018"/>
    <w:p>
      <w:pPr>
        <w:pStyle w:val="Literaturverzeichnis"/>
      </w:pPr>
      <w:r>
        <w:t xml:space="preserve">20.</w:t>
      </w:r>
      <w:r>
        <w:t xml:space="preserve"> </w:t>
      </w:r>
      <w:r>
        <w:t xml:space="preserve">	</w:t>
      </w:r>
      <w:r>
        <w:t xml:space="preserve">Vineis, P.</w:t>
      </w:r>
      <w:r>
        <w:t xml:space="preserve"> </w:t>
      </w:r>
      <w:hyperlink r:id="rId101">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2"/>
    <w:bookmarkStart w:id="104"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3">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4"/>
    <w:bookmarkStart w:id="106"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5">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6"/>
    <w:bookmarkStart w:id="108" w:name="ref-savides1986"/>
    <w:p>
      <w:pPr>
        <w:pStyle w:val="Literaturverzeichnis"/>
      </w:pPr>
      <w:r>
        <w:t xml:space="preserve">23.</w:t>
      </w:r>
      <w:r>
        <w:t xml:space="preserve"> </w:t>
      </w:r>
      <w:r>
        <w:t xml:space="preserve">	</w:t>
      </w:r>
      <w:r>
        <w:t xml:space="preserve">Savides, T. J., Messin, S., Senger, C. &amp; Kripke, D. F.</w:t>
      </w:r>
      <w:r>
        <w:t xml:space="preserve"> </w:t>
      </w:r>
      <w:hyperlink r:id="rId107">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08"/>
    <w:bookmarkStart w:id="110" w:name="ref-price2021"/>
    <w:p>
      <w:pPr>
        <w:pStyle w:val="Literaturverzeichnis"/>
      </w:pPr>
      <w:r>
        <w:t xml:space="preserve">24.</w:t>
      </w:r>
      <w:r>
        <w:t xml:space="preserve"> </w:t>
      </w:r>
      <w:r>
        <w:t xml:space="preserve">	</w:t>
      </w:r>
      <w:r>
        <w:t xml:space="preserve">Price, L. L. A., Khazova, M. &amp; Udovičić, L.</w:t>
      </w:r>
      <w:r>
        <w:t xml:space="preserve"> </w:t>
      </w:r>
      <w:hyperlink r:id="rId109">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0"/>
    <w:bookmarkStart w:id="112"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1">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2"/>
    <w:bookmarkStart w:id="114"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3">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4"/>
    <w:bookmarkStart w:id="116"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5">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6"/>
    <w:bookmarkStart w:id="118" w:name="ref-hartmeyer2022"/>
    <w:p>
      <w:pPr>
        <w:pStyle w:val="Literaturverzeichnis"/>
      </w:pPr>
      <w:r>
        <w:t xml:space="preserve">28.</w:t>
      </w:r>
      <w:r>
        <w:t xml:space="preserve"> </w:t>
      </w:r>
      <w:r>
        <w:t xml:space="preserve">	</w:t>
      </w:r>
      <w:r>
        <w:t xml:space="preserve">Hartmeyer, S., Webler, F. &amp; Andersen, M.</w:t>
      </w:r>
      <w:r>
        <w:t xml:space="preserve"> </w:t>
      </w:r>
      <w:hyperlink r:id="rId117">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18"/>
    <w:bookmarkStart w:id="120"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19">
        <w:r>
          <w:rPr>
            <w:rStyle w:val="Hyperlink"/>
          </w:rPr>
          <w:t xml:space="preserve">10.25039/x051.2025/62xbgg</w:t>
        </w:r>
      </w:hyperlink>
      <w:r>
        <w:t xml:space="preserve">.</w:t>
      </w:r>
    </w:p>
    <w:bookmarkEnd w:id="120"/>
    <w:bookmarkStart w:id="122" w:name="ref-devries2026"/>
    <w:p>
      <w:pPr>
        <w:pStyle w:val="Literaturverzeichnis"/>
      </w:pPr>
      <w:r>
        <w:t xml:space="preserve">30.</w:t>
      </w:r>
      <w:r>
        <w:t xml:space="preserve"> </w:t>
      </w:r>
      <w:r>
        <w:t xml:space="preserve">	</w:t>
      </w:r>
      <w:r>
        <w:t xml:space="preserve">Vries, S. W. de, Mardaljevic, J. &amp; Duijnhoven, J. van.</w:t>
      </w:r>
      <w:r>
        <w:t xml:space="preserve"> </w:t>
      </w:r>
      <w:hyperlink r:id="rId121">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2"/>
    <w:bookmarkStart w:id="124" w:name="ref-devries2026a"/>
    <w:p>
      <w:pPr>
        <w:pStyle w:val="Literaturverzeichnis"/>
      </w:pPr>
      <w:r>
        <w:t xml:space="preserve">31.</w:t>
      </w:r>
      <w:r>
        <w:t xml:space="preserve"> </w:t>
      </w:r>
      <w:r>
        <w:t xml:space="preserve">	</w:t>
      </w:r>
      <w:r>
        <w:t xml:space="preserve">Vries, S. W. de, Mardaljevic, J. &amp; Duijnhoven, J. van.</w:t>
      </w:r>
      <w:r>
        <w:t xml:space="preserve"> </w:t>
      </w:r>
      <w:hyperlink r:id="rId123">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4"/>
    <w:bookmarkStart w:id="126" w:name="ref-gibaldi2024"/>
    <w:p>
      <w:pPr>
        <w:pStyle w:val="Literaturverzeichnis"/>
      </w:pPr>
      <w:r>
        <w:t xml:space="preserve">32.</w:t>
      </w:r>
      <w:r>
        <w:t xml:space="preserve"> </w:t>
      </w:r>
      <w:r>
        <w:t xml:space="preserve">	</w:t>
      </w:r>
      <w:r>
        <w:t xml:space="preserve">Gibaldi, A., Harb, E. N., Wildsoet, C. F. &amp; Banks, M. S.</w:t>
      </w:r>
      <w:r>
        <w:t xml:space="preserve"> </w:t>
      </w:r>
      <w:hyperlink r:id="rId125">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6"/>
    <w:bookmarkStart w:id="128"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27">
        <w:r>
          <w:rPr>
            <w:rStyle w:val="Hyperlink"/>
          </w:rPr>
          <w:t xml:space="preserve">https://doi.org/10.64898/2026.07.28.741277</w:t>
        </w:r>
      </w:hyperlink>
      <w:r>
        <w:t xml:space="preserve"> </w:t>
      </w:r>
      <w:r>
        <w:t xml:space="preserve">(2026) doi:</w:t>
      </w:r>
      <w:hyperlink r:id="rId127">
        <w:r>
          <w:rPr>
            <w:rStyle w:val="Hyperlink"/>
          </w:rPr>
          <w:t xml:space="preserve">10.64898/2026.07.28.741277</w:t>
        </w:r>
      </w:hyperlink>
      <w:r>
        <w:t xml:space="preserve">.</w:t>
      </w:r>
    </w:p>
    <w:bookmarkEnd w:id="128"/>
    <w:bookmarkStart w:id="130"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29">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0"/>
    <w:bookmarkStart w:id="132"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1">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2"/>
    <w:bookmarkStart w:id="134" w:name="ref-biller2024"/>
    <w:p>
      <w:pPr>
        <w:pStyle w:val="Literaturverzeichnis"/>
      </w:pPr>
      <w:r>
        <w:t xml:space="preserve">36.</w:t>
      </w:r>
      <w:r>
        <w:t xml:space="preserve"> </w:t>
      </w:r>
      <w:r>
        <w:t xml:space="preserve">	</w:t>
      </w:r>
      <w:r>
        <w:t xml:space="preserve">Biller, A. M., Balakrishnan, P. &amp; Spitschan, M.</w:t>
      </w:r>
      <w:r>
        <w:t xml:space="preserve"> </w:t>
      </w:r>
      <w:hyperlink r:id="rId133">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4"/>
    <w:bookmarkStart w:id="136"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5">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6"/>
    <w:bookmarkStart w:id="138"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37">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38"/>
    <w:bookmarkStart w:id="140"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39">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0"/>
    <w:bookmarkStart w:id="142"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1">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2"/>
    <w:bookmarkStart w:id="144"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3">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4"/>
    <w:bookmarkStart w:id="146" w:name="ref-zauner2025"/>
    <w:p>
      <w:pPr>
        <w:pStyle w:val="Literaturverzeichnis"/>
      </w:pPr>
      <w:r>
        <w:t xml:space="preserve">42.</w:t>
      </w:r>
      <w:r>
        <w:t xml:space="preserve"> </w:t>
      </w:r>
      <w:r>
        <w:t xml:space="preserve">	</w:t>
      </w:r>
      <w:r>
        <w:t xml:space="preserve">Zauner, J., Biller, A. M. &amp; Spitschan, M.</w:t>
      </w:r>
      <w:r>
        <w:t xml:space="preserve"> </w:t>
      </w:r>
      <w:hyperlink r:id="rId145">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6"/>
    <w:bookmarkStart w:id="148"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47">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48"/>
    <w:bookmarkStart w:id="150"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49">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0"/>
    <w:bookmarkStart w:id="152"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1">
        <w:r>
          <w:rPr>
            <w:rStyle w:val="Hyperlink"/>
          </w:rPr>
          <w:t xml:space="preserve">10.48550/arXiv.2606.20719</w:t>
        </w:r>
      </w:hyperlink>
      <w:r>
        <w:t xml:space="preserve">.</w:t>
      </w:r>
    </w:p>
    <w:bookmarkEnd w:id="152"/>
    <w:bookmarkStart w:id="154" w:name="ref-walde2023"/>
    <w:p>
      <w:pPr>
        <w:pStyle w:val="Literaturverzeichnis"/>
      </w:pPr>
      <w:r>
        <w:t xml:space="preserve">46.</w:t>
      </w:r>
      <w:r>
        <w:t xml:space="preserve"> </w:t>
      </w:r>
      <w:r>
        <w:t xml:space="preserve">	</w:t>
      </w:r>
      <w:r>
        <w:t xml:space="preserve">Walde, P. &amp; Völlm, B. A.</w:t>
      </w:r>
      <w:r>
        <w:t xml:space="preserve"> </w:t>
      </w:r>
      <w:hyperlink r:id="rId153">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54"/>
    <w:bookmarkStart w:id="156" w:name="ref-zauner2024"/>
    <w:p>
      <w:pPr>
        <w:pStyle w:val="Literaturverzeichnis"/>
      </w:pPr>
      <w:r>
        <w:t xml:space="preserve">47.</w:t>
      </w:r>
      <w:r>
        <w:t xml:space="preserve"> </w:t>
      </w:r>
      <w:r>
        <w:t xml:space="preserve">	</w:t>
      </w:r>
      <w:r>
        <w:t xml:space="preserve">Zauner, J., Udovicic, L. &amp; Spitschan, M.</w:t>
      </w:r>
      <w:r>
        <w:t xml:space="preserve"> </w:t>
      </w:r>
      <w:hyperlink r:id="rId155">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56"/>
    <w:bookmarkStart w:id="158" w:name="ref-guidolin2026"/>
    <w:p>
      <w:pPr>
        <w:pStyle w:val="Literaturverzeichnis"/>
      </w:pPr>
      <w:r>
        <w:t xml:space="preserve">48.</w:t>
      </w:r>
      <w:r>
        <w:t xml:space="preserve"> </w:t>
      </w:r>
      <w:r>
        <w:t xml:space="preserve">	</w:t>
      </w:r>
      <w:r>
        <w:t xml:space="preserve">Guidolin, C., Zauner, J., Hartmeyer, S. L. &amp; Spitschan, M.</w:t>
      </w:r>
      <w:r>
        <w:t xml:space="preserve"> </w:t>
      </w:r>
      <w:hyperlink r:id="rId157">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58"/>
    <w:bookmarkStart w:id="160" w:name="ref-Carney2012"/>
    <w:p>
      <w:pPr>
        <w:pStyle w:val="Literaturverzeichnis"/>
      </w:pPr>
      <w:r>
        <w:t xml:space="preserve">49.</w:t>
      </w:r>
      <w:r>
        <w:t xml:space="preserve"> </w:t>
      </w:r>
      <w:r>
        <w:t xml:space="preserve">	</w:t>
      </w:r>
      <w:r>
        <w:t xml:space="preserve">Carney, C. E.</w:t>
      </w:r>
      <w:r>
        <w:t xml:space="preserve"> </w:t>
      </w:r>
      <w:r>
        <w:rPr>
          <w:i/>
          <w:iCs/>
        </w:rPr>
        <w:t xml:space="preserve">et al.</w:t>
      </w:r>
      <w:r>
        <w:t xml:space="preserve"> </w:t>
      </w:r>
      <w:hyperlink r:id="rId159">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0"/>
    <w:bookmarkStart w:id="162" w:name="ref-kaida2006"/>
    <w:p>
      <w:pPr>
        <w:pStyle w:val="Literaturverzeichnis"/>
      </w:pPr>
      <w:r>
        <w:t xml:space="preserve">50.</w:t>
      </w:r>
      <w:r>
        <w:t xml:space="preserve"> </w:t>
      </w:r>
      <w:r>
        <w:t xml:space="preserve">	</w:t>
      </w:r>
      <w:r>
        <w:t xml:space="preserve">Kaida, K.</w:t>
      </w:r>
      <w:r>
        <w:t xml:space="preserve"> </w:t>
      </w:r>
      <w:r>
        <w:rPr>
          <w:i/>
          <w:iCs/>
        </w:rPr>
        <w:t xml:space="preserve">et al.</w:t>
      </w:r>
      <w:r>
        <w:t xml:space="preserve"> </w:t>
      </w:r>
      <w:hyperlink r:id="rId161">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2"/>
    <w:bookmarkStart w:id="164" w:name="ref-tsanas2016"/>
    <w:p>
      <w:pPr>
        <w:pStyle w:val="Literaturverzeichnis"/>
      </w:pPr>
      <w:r>
        <w:t xml:space="preserve">51.</w:t>
      </w:r>
      <w:r>
        <w:t xml:space="preserve"> </w:t>
      </w:r>
      <w:r>
        <w:t xml:space="preserve">	</w:t>
      </w:r>
      <w:r>
        <w:t xml:space="preserve">Tsanas, A.</w:t>
      </w:r>
      <w:r>
        <w:t xml:space="preserve"> </w:t>
      </w:r>
      <w:r>
        <w:rPr>
          <w:i/>
          <w:iCs/>
        </w:rPr>
        <w:t xml:space="preserve">et al.</w:t>
      </w:r>
      <w:r>
        <w:t xml:space="preserve"> </w:t>
      </w:r>
      <w:hyperlink r:id="rId163">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64"/>
    <w:bookmarkStart w:id="166" w:name="ref-sischka2020"/>
    <w:p>
      <w:pPr>
        <w:pStyle w:val="Literaturverzeichnis"/>
      </w:pPr>
      <w:r>
        <w:t xml:space="preserve">52.</w:t>
      </w:r>
      <w:r>
        <w:t xml:space="preserve"> </w:t>
      </w:r>
      <w:r>
        <w:t xml:space="preserve">	</w:t>
      </w:r>
      <w:r>
        <w:t xml:space="preserve">Sischka, P. E., Costa, A. P., Steffgen, G. &amp; Schmidt, A. F.</w:t>
      </w:r>
      <w:r>
        <w:t xml:space="preserve"> </w:t>
      </w:r>
      <w:hyperlink r:id="rId165">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66"/>
    <w:bookmarkStart w:id="168" w:name="ref-harris2022"/>
    <w:p>
      <w:pPr>
        <w:pStyle w:val="Literaturverzeichnis"/>
      </w:pPr>
      <w:r>
        <w:t xml:space="preserve">53.</w:t>
      </w:r>
      <w:r>
        <w:t xml:space="preserve"> </w:t>
      </w:r>
      <w:r>
        <w:t xml:space="preserve">	</w:t>
      </w:r>
      <w:r>
        <w:t xml:space="preserve">Harris, P. A.</w:t>
      </w:r>
      <w:r>
        <w:t xml:space="preserve"> </w:t>
      </w:r>
      <w:r>
        <w:rPr>
          <w:i/>
          <w:iCs/>
        </w:rPr>
        <w:t xml:space="preserve">et al.</w:t>
      </w:r>
      <w:r>
        <w:t xml:space="preserve"> </w:t>
      </w:r>
      <w:hyperlink r:id="rId167">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68"/>
    <w:bookmarkStart w:id="170" w:name="ref-patridge2018"/>
    <w:p>
      <w:pPr>
        <w:pStyle w:val="Literaturverzeichnis"/>
      </w:pPr>
      <w:r>
        <w:t xml:space="preserve">54.</w:t>
      </w:r>
      <w:r>
        <w:t xml:space="preserve"> </w:t>
      </w:r>
      <w:r>
        <w:t xml:space="preserve">	</w:t>
      </w:r>
      <w:r>
        <w:t xml:space="preserve">Patridge, E. F. &amp; Bardyn, T. P.</w:t>
      </w:r>
      <w:r>
        <w:t xml:space="preserve"> </w:t>
      </w:r>
      <w:hyperlink r:id="rId169">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0"/>
    <w:bookmarkStart w:id="172" w:name="ref-Bajaj2011"/>
    <w:p>
      <w:pPr>
        <w:pStyle w:val="Literaturverzeichnis"/>
      </w:pPr>
      <w:r>
        <w:t xml:space="preserve">55.</w:t>
      </w:r>
      <w:r>
        <w:t xml:space="preserve"> </w:t>
      </w:r>
      <w:r>
        <w:t xml:space="preserve">	</w:t>
      </w:r>
      <w:r>
        <w:t xml:space="preserve">Bajaj, A., Rosner, B., Lockley, S. W. &amp; Schernhammer, E. S.</w:t>
      </w:r>
      <w:r>
        <w:t xml:space="preserve"> </w:t>
      </w:r>
      <w:hyperlink r:id="rId171">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2"/>
    <w:bookmarkStart w:id="174" w:name="ref-kantermann2015"/>
    <w:p>
      <w:pPr>
        <w:pStyle w:val="Literaturverzeichnis"/>
      </w:pPr>
      <w:r>
        <w:t xml:space="preserve">56.</w:t>
      </w:r>
      <w:r>
        <w:t xml:space="preserve"> </w:t>
      </w:r>
      <w:r>
        <w:t xml:space="preserve">	</w:t>
      </w:r>
      <w:r>
        <w:t xml:space="preserve">Kantermann, T., Sung, H. &amp; Burgess, H. J.</w:t>
      </w:r>
      <w:r>
        <w:t xml:space="preserve"> </w:t>
      </w:r>
      <w:hyperlink r:id="rId173">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74"/>
    <w:bookmarkStart w:id="176" w:name="ref-horne1976"/>
    <w:p>
      <w:pPr>
        <w:pStyle w:val="Literaturverzeichnis"/>
      </w:pPr>
      <w:r>
        <w:t xml:space="preserve">57.</w:t>
      </w:r>
      <w:r>
        <w:t xml:space="preserve"> </w:t>
      </w:r>
      <w:r>
        <w:t xml:space="preserve">	</w:t>
      </w:r>
      <w:r>
        <w:t xml:space="preserve">Horne, J. A. &amp; Östberg, O.</w:t>
      </w:r>
      <w:r>
        <w:t xml:space="preserve"> </w:t>
      </w:r>
      <w:hyperlink r:id="rId175">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76"/>
    <w:bookmarkStart w:id="178" w:name="ref-verriotto2017"/>
    <w:p>
      <w:pPr>
        <w:pStyle w:val="Literaturverzeichnis"/>
      </w:pPr>
      <w:r>
        <w:t xml:space="preserve">58.</w:t>
      </w:r>
      <w:r>
        <w:t xml:space="preserve"> </w:t>
      </w:r>
      <w:r>
        <w:t xml:space="preserve">	</w:t>
      </w:r>
      <w:r>
        <w:t xml:space="preserve">Verriotto, J. D.</w:t>
      </w:r>
      <w:r>
        <w:t xml:space="preserve"> </w:t>
      </w:r>
      <w:r>
        <w:rPr>
          <w:i/>
          <w:iCs/>
        </w:rPr>
        <w:t xml:space="preserve">et al.</w:t>
      </w:r>
      <w:r>
        <w:t xml:space="preserve"> </w:t>
      </w:r>
      <w:hyperlink r:id="rId177">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78"/>
    <w:bookmarkStart w:id="180" w:name="ref-grandner2022"/>
    <w:p>
      <w:pPr>
        <w:pStyle w:val="Literaturverzeichnis"/>
      </w:pPr>
      <w:r>
        <w:t xml:space="preserve">59.</w:t>
      </w:r>
      <w:r>
        <w:t xml:space="preserve"> </w:t>
      </w:r>
      <w:r>
        <w:t xml:space="preserve">	</w:t>
      </w:r>
      <w:r>
        <w:t xml:space="preserve">Grandner, M. A.</w:t>
      </w:r>
      <w:r>
        <w:t xml:space="preserve"> </w:t>
      </w:r>
      <w:r>
        <w:rPr>
          <w:i/>
          <w:iCs/>
        </w:rPr>
        <w:t xml:space="preserve">et al.</w:t>
      </w:r>
      <w:r>
        <w:t xml:space="preserve"> </w:t>
      </w:r>
      <w:hyperlink r:id="rId179">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0"/>
    <w:bookmarkStart w:id="182" w:name="ref-siraji2023"/>
    <w:p>
      <w:pPr>
        <w:pStyle w:val="Literaturverzeichnis"/>
      </w:pPr>
      <w:r>
        <w:t xml:space="preserve">60.</w:t>
      </w:r>
      <w:r>
        <w:t xml:space="preserve"> </w:t>
      </w:r>
      <w:r>
        <w:t xml:space="preserve">	</w:t>
      </w:r>
      <w:r>
        <w:t xml:space="preserve">Siraji, M. A.</w:t>
      </w:r>
      <w:r>
        <w:t xml:space="preserve"> </w:t>
      </w:r>
      <w:r>
        <w:rPr>
          <w:i/>
          <w:iCs/>
        </w:rPr>
        <w:t xml:space="preserve">et al.</w:t>
      </w:r>
      <w:r>
        <w:t xml:space="preserve"> </w:t>
      </w:r>
      <w:hyperlink r:id="rId181">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2"/>
    <w:bookmarkStart w:id="184" w:name="ref-base"/>
    <w:p>
      <w:pPr>
        <w:pStyle w:val="Literaturverzeichnis"/>
      </w:pPr>
      <w:r>
        <w:t xml:space="preserve">61.</w:t>
      </w:r>
      <w:r>
        <w:t xml:space="preserve"> </w:t>
      </w:r>
      <w:r>
        <w:t xml:space="preserve">	</w:t>
      </w:r>
      <w:r>
        <w:t xml:space="preserve">R Core Team. R: A language and environment for statistical computing.</w:t>
      </w:r>
      <w:r>
        <w:t xml:space="preserve"> </w:t>
      </w:r>
      <w:hyperlink r:id="rId183">
        <w:r>
          <w:rPr>
            <w:rStyle w:val="Hyperlink"/>
          </w:rPr>
          <w:t xml:space="preserve">https://www.R-project.org/</w:t>
        </w:r>
      </w:hyperlink>
      <w:r>
        <w:t xml:space="preserve"> </w:t>
      </w:r>
      <w:r>
        <w:t xml:space="preserve">(2025).</w:t>
      </w:r>
    </w:p>
    <w:bookmarkEnd w:id="184"/>
    <w:bookmarkStart w:id="186" w:name="ref-LightLogR"/>
    <w:p>
      <w:pPr>
        <w:pStyle w:val="Literaturverzeichnis"/>
      </w:pPr>
      <w:r>
        <w:t xml:space="preserve">62.</w:t>
      </w:r>
      <w:r>
        <w:t xml:space="preserve"> </w:t>
      </w:r>
      <w:r>
        <w:t xml:space="preserve">	</w:t>
      </w:r>
      <w:r>
        <w:t xml:space="preserve">Zauner, J., Hartmeyer, S. &amp; Spitschan, M.</w:t>
      </w:r>
      <w:r>
        <w:t xml:space="preserve"> </w:t>
      </w:r>
      <w:hyperlink r:id="rId185">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86"/>
    <w:bookmarkStart w:id="188" w:name="ref-hartmeyer2023"/>
    <w:p>
      <w:pPr>
        <w:pStyle w:val="Literaturverzeichnis"/>
      </w:pPr>
      <w:r>
        <w:t xml:space="preserve">63.</w:t>
      </w:r>
      <w:r>
        <w:t xml:space="preserve"> </w:t>
      </w:r>
      <w:r>
        <w:t xml:space="preserve">	</w:t>
      </w:r>
      <w:r>
        <w:t xml:space="preserve">Hartmeyer, S. &amp; Andersen, M.</w:t>
      </w:r>
      <w:r>
        <w:t xml:space="preserve"> </w:t>
      </w:r>
      <w:hyperlink r:id="rId187">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88"/>
    <w:bookmarkStart w:id="190" w:name="ref-zauner2025a"/>
    <w:p>
      <w:pPr>
        <w:pStyle w:val="Literaturverzeichnis"/>
      </w:pPr>
      <w:r>
        <w:t xml:space="preserve">64.</w:t>
      </w:r>
      <w:r>
        <w:t xml:space="preserve"> </w:t>
      </w:r>
      <w:r>
        <w:t xml:space="preserve">	</w:t>
      </w:r>
      <w:r>
        <w:t xml:space="preserve">Zauner, J., Guidolin, C. &amp; Spitschan, M.</w:t>
      </w:r>
      <w:r>
        <w:t xml:space="preserve"> </w:t>
      </w:r>
      <w:hyperlink r:id="rId189">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0"/>
    <w:bookmarkStart w:id="192" w:name="ref-hastie1986"/>
    <w:p>
      <w:pPr>
        <w:pStyle w:val="Literaturverzeichnis"/>
      </w:pPr>
      <w:r>
        <w:t xml:space="preserve">65.</w:t>
      </w:r>
      <w:r>
        <w:t xml:space="preserve"> </w:t>
      </w:r>
      <w:r>
        <w:t xml:space="preserve">	</w:t>
      </w:r>
      <w:r>
        <w:t xml:space="preserve">Hastie, T. &amp; Tibshirani, R.</w:t>
      </w:r>
      <w:r>
        <w:t xml:space="preserve"> </w:t>
      </w:r>
      <w:hyperlink r:id="rId191">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2"/>
    <w:bookmarkStart w:id="194" w:name="ref-hastie1995"/>
    <w:p>
      <w:pPr>
        <w:pStyle w:val="Literaturverzeichnis"/>
      </w:pPr>
      <w:r>
        <w:t xml:space="preserve">66.</w:t>
      </w:r>
      <w:r>
        <w:t xml:space="preserve"> </w:t>
      </w:r>
      <w:r>
        <w:t xml:space="preserve">	</w:t>
      </w:r>
      <w:r>
        <w:t xml:space="preserve">Hastie, T. &amp; Tibshirani, R.</w:t>
      </w:r>
      <w:r>
        <w:t xml:space="preserve"> </w:t>
      </w:r>
      <w:hyperlink r:id="rId193">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194"/>
    <w:bookmarkStart w:id="196" w:name="ref-mgcv"/>
    <w:p>
      <w:pPr>
        <w:pStyle w:val="Literaturverzeichnis"/>
      </w:pPr>
      <w:r>
        <w:t xml:space="preserve">67.</w:t>
      </w:r>
      <w:r>
        <w:t xml:space="preserve"> </w:t>
      </w:r>
      <w:r>
        <w:t xml:space="preserve">	</w:t>
      </w:r>
      <w:r>
        <w:t xml:space="preserve">Wood, S. N.</w:t>
      </w:r>
      <w:r>
        <w:t xml:space="preserve"> </w:t>
      </w:r>
      <w:hyperlink r:id="rId195">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196"/>
    <w:bookmarkStart w:id="198" w:name="ref-pedersen2019"/>
    <w:p>
      <w:pPr>
        <w:pStyle w:val="Literaturverzeichnis"/>
      </w:pPr>
      <w:r>
        <w:t xml:space="preserve">68.</w:t>
      </w:r>
      <w:r>
        <w:t xml:space="preserve"> </w:t>
      </w:r>
      <w:r>
        <w:t xml:space="preserve">	</w:t>
      </w:r>
      <w:r>
        <w:t xml:space="preserve">Pedersen, E. J., Miller, D. L., Simpson, G. L. &amp; Ross, N.</w:t>
      </w:r>
      <w:r>
        <w:t xml:space="preserve"> </w:t>
      </w:r>
      <w:hyperlink r:id="rId197">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198"/>
    <w:bookmarkStart w:id="200" w:name="ref-azen2003"/>
    <w:p>
      <w:pPr>
        <w:pStyle w:val="Literaturverzeichnis"/>
      </w:pPr>
      <w:r>
        <w:t xml:space="preserve">69.</w:t>
      </w:r>
      <w:r>
        <w:t xml:space="preserve"> </w:t>
      </w:r>
      <w:r>
        <w:t xml:space="preserve">	</w:t>
      </w:r>
      <w:r>
        <w:t xml:space="preserve">Azen, R. &amp; Budescu, D. V.</w:t>
      </w:r>
      <w:r>
        <w:t xml:space="preserve"> </w:t>
      </w:r>
      <w:hyperlink r:id="rId199">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0"/>
    <w:bookmarkStart w:id="202" w:name="ref-groemping2007"/>
    <w:p>
      <w:pPr>
        <w:pStyle w:val="Literaturverzeichnis"/>
      </w:pPr>
      <w:r>
        <w:t xml:space="preserve">70.</w:t>
      </w:r>
      <w:r>
        <w:t xml:space="preserve"> </w:t>
      </w:r>
      <w:r>
        <w:t xml:space="preserve">	</w:t>
      </w:r>
      <w:r>
        <w:t xml:space="preserve">Grömping, U.</w:t>
      </w:r>
      <w:r>
        <w:t xml:space="preserve"> </w:t>
      </w:r>
      <w:hyperlink r:id="rId201">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2"/>
    <w:bookmarkStart w:id="204" w:name="ref-jorgensen1987"/>
    <w:p>
      <w:pPr>
        <w:pStyle w:val="Literaturverzeichnis"/>
      </w:pPr>
      <w:r>
        <w:t xml:space="preserve">71.</w:t>
      </w:r>
      <w:r>
        <w:t xml:space="preserve"> </w:t>
      </w:r>
      <w:r>
        <w:t xml:space="preserve">	</w:t>
      </w:r>
      <w:r>
        <w:t xml:space="preserve">Jørgensen, B.</w:t>
      </w:r>
      <w:r>
        <w:t xml:space="preserve"> </w:t>
      </w:r>
      <w:hyperlink r:id="rId203">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04"/>
    <w:bookmarkStart w:id="206" w:name="ref-dunn2005"/>
    <w:p>
      <w:pPr>
        <w:pStyle w:val="Literaturverzeichnis"/>
      </w:pPr>
      <w:r>
        <w:t xml:space="preserve">72.</w:t>
      </w:r>
      <w:r>
        <w:t xml:space="preserve"> </w:t>
      </w:r>
      <w:r>
        <w:t xml:space="preserve">	</w:t>
      </w:r>
      <w:r>
        <w:t xml:space="preserve">Dunn, P. K. &amp; Smyth, G. K.</w:t>
      </w:r>
      <w:r>
        <w:t xml:space="preserve"> </w:t>
      </w:r>
      <w:hyperlink r:id="rId205">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06"/>
    <w:bookmarkStart w:id="208" w:name="ref-lme4"/>
    <w:p>
      <w:pPr>
        <w:pStyle w:val="Literaturverzeichnis"/>
      </w:pPr>
      <w:r>
        <w:t xml:space="preserve">73.</w:t>
      </w:r>
      <w:r>
        <w:t xml:space="preserve"> </w:t>
      </w:r>
      <w:r>
        <w:t xml:space="preserve">	</w:t>
      </w:r>
      <w:r>
        <w:t xml:space="preserve">Bates, D., Mächler, M., Bolker, B. &amp; Walker, S.</w:t>
      </w:r>
      <w:r>
        <w:t xml:space="preserve"> </w:t>
      </w:r>
      <w:hyperlink r:id="rId207">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08"/>
    <w:bookmarkStart w:id="210" w:name="ref-glmmTMB"/>
    <w:p>
      <w:pPr>
        <w:pStyle w:val="Literaturverzeichnis"/>
      </w:pPr>
      <w:r>
        <w:t xml:space="preserve">74.</w:t>
      </w:r>
      <w:r>
        <w:t xml:space="preserve"> </w:t>
      </w:r>
      <w:r>
        <w:t xml:space="preserve">	</w:t>
      </w:r>
      <w:r>
        <w:t xml:space="preserve">Brooks, M. E.</w:t>
      </w:r>
      <w:r>
        <w:t xml:space="preserve"> </w:t>
      </w:r>
      <w:r>
        <w:rPr>
          <w:i/>
          <w:iCs/>
        </w:rPr>
        <w:t xml:space="preserve">et al.</w:t>
      </w:r>
      <w:r>
        <w:t xml:space="preserve"> </w:t>
      </w:r>
      <w:hyperlink r:id="rId209">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0"/>
    <w:bookmarkStart w:id="212" w:name="ref-performance"/>
    <w:p>
      <w:pPr>
        <w:pStyle w:val="Literaturverzeichnis"/>
      </w:pPr>
      <w:r>
        <w:t xml:space="preserve">75.</w:t>
      </w:r>
      <w:r>
        <w:t xml:space="preserve"> </w:t>
      </w:r>
      <w:r>
        <w:t xml:space="preserve">	</w:t>
      </w:r>
      <w:r>
        <w:t xml:space="preserve">Lüdecke, D., Ben-Shachar, M. S., Patil, I., Waggoner, P. &amp; Makowski, D.</w:t>
      </w:r>
      <w:r>
        <w:t xml:space="preserve"> </w:t>
      </w:r>
      <w:hyperlink r:id="rId211">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2"/>
    <w:bookmarkStart w:id="214" w:name="ref-emmeans"/>
    <w:p>
      <w:pPr>
        <w:pStyle w:val="Literaturverzeichnis"/>
      </w:pPr>
      <w:r>
        <w:t xml:space="preserve">76.</w:t>
      </w:r>
      <w:r>
        <w:t xml:space="preserve"> </w:t>
      </w:r>
      <w:r>
        <w:t xml:space="preserve">	</w:t>
      </w:r>
      <w:r>
        <w:t xml:space="preserve">Lenth, R. V. &amp; Piaskowski, J. Emmeans: Estimated marginal means, aka least-squares means.</w:t>
      </w:r>
      <w:r>
        <w:t xml:space="preserve"> </w:t>
      </w:r>
      <w:hyperlink r:id="rId213">
        <w:r>
          <w:rPr>
            <w:rStyle w:val="Hyperlink"/>
          </w:rPr>
          <w:t xml:space="preserve">https://doi.org/10.32614/CRAN.package.emmeans</w:t>
        </w:r>
      </w:hyperlink>
      <w:r>
        <w:t xml:space="preserve"> </w:t>
      </w:r>
      <w:r>
        <w:t xml:space="preserve">(2026) doi:</w:t>
      </w:r>
      <w:hyperlink r:id="rId213">
        <w:r>
          <w:rPr>
            <w:rStyle w:val="Hyperlink"/>
          </w:rPr>
          <w:t xml:space="preserve">10.32614/CRAN.package.emmeans</w:t>
        </w:r>
      </w:hyperlink>
      <w:r>
        <w:t xml:space="preserve">.</w:t>
      </w:r>
    </w:p>
    <w:bookmarkEnd w:id="214"/>
    <w:bookmarkStart w:id="216" w:name="ref-gratia"/>
    <w:p>
      <w:pPr>
        <w:pStyle w:val="Literaturverzeichnis"/>
      </w:pPr>
      <w:r>
        <w:t xml:space="preserve">77.</w:t>
      </w:r>
      <w:r>
        <w:t xml:space="preserve"> </w:t>
      </w:r>
      <w:r>
        <w:t xml:space="preserve">	</w:t>
      </w:r>
      <w:r>
        <w:t xml:space="preserve">Simpson, G. L.</w:t>
      </w:r>
      <w:r>
        <w:t xml:space="preserve"> </w:t>
      </w:r>
      <w:hyperlink r:id="rId215">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16"/>
    <w:bookmarkStart w:id="218" w:name="ref-benjamini1995"/>
    <w:p>
      <w:pPr>
        <w:pStyle w:val="Literaturverzeichnis"/>
      </w:pPr>
      <w:r>
        <w:t xml:space="preserve">78.</w:t>
      </w:r>
      <w:r>
        <w:t xml:space="preserve"> </w:t>
      </w:r>
      <w:r>
        <w:t xml:space="preserve">	</w:t>
      </w:r>
      <w:r>
        <w:t xml:space="preserve">Benjamini, Y. &amp; Hochberg, Y.</w:t>
      </w:r>
      <w:r>
        <w:t xml:space="preserve"> </w:t>
      </w:r>
      <w:hyperlink r:id="rId217">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18"/>
    <w:bookmarkStart w:id="220" w:name="ref-tidyverse"/>
    <w:p>
      <w:pPr>
        <w:pStyle w:val="Literaturverzeichnis"/>
      </w:pPr>
      <w:r>
        <w:t xml:space="preserve">79.</w:t>
      </w:r>
      <w:r>
        <w:t xml:space="preserve"> </w:t>
      </w:r>
      <w:r>
        <w:t xml:space="preserve">	</w:t>
      </w:r>
      <w:r>
        <w:t xml:space="preserve">Wickham, H.</w:t>
      </w:r>
      <w:r>
        <w:t xml:space="preserve"> </w:t>
      </w:r>
      <w:r>
        <w:rPr>
          <w:i/>
          <w:iCs/>
        </w:rPr>
        <w:t xml:space="preserve">et al.</w:t>
      </w:r>
      <w:r>
        <w:t xml:space="preserve"> </w:t>
      </w:r>
      <w:hyperlink r:id="rId219">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0"/>
    <w:bookmarkStart w:id="222" w:name="ref-zauner2026melidos_preregistration"/>
    <w:p>
      <w:pPr>
        <w:pStyle w:val="Literaturverzeichnis"/>
      </w:pPr>
      <w:r>
        <w:t xml:space="preserve">80.</w:t>
      </w:r>
      <w:r>
        <w:t xml:space="preserve"> </w:t>
      </w:r>
      <w:r>
        <w:t xml:space="preserve">	</w:t>
      </w:r>
      <w:r>
        <w:t xml:space="preserve">Zauner, J., Didikoglu, A. &amp; Spitschan, M.</w:t>
      </w:r>
      <w:r>
        <w:t xml:space="preserve"> </w:t>
      </w:r>
      <w:hyperlink r:id="rId221">
        <w:r>
          <w:rPr>
            <w:rStyle w:val="Hyperlink"/>
          </w:rPr>
          <w:t xml:space="preserve">MeLiDos Project – Multi-country determinants of personal light exposure</w:t>
        </w:r>
      </w:hyperlink>
      <w:r>
        <w:t xml:space="preserve">. (2026).</w:t>
      </w:r>
    </w:p>
    <w:bookmarkEnd w:id="222"/>
    <w:bookmarkStart w:id="224" w:name="ref-akuffo2025"/>
    <w:p>
      <w:pPr>
        <w:pStyle w:val="Literaturverzeichnis"/>
      </w:pPr>
      <w:r>
        <w:t xml:space="preserve">81.</w:t>
      </w:r>
      <w:r>
        <w:t xml:space="preserve"> </w:t>
      </w:r>
      <w:r>
        <w:t xml:space="preserve">	</w:t>
      </w:r>
      <w:r>
        <w:t xml:space="preserve">Akuffo, K. O., Agbeshie, G. K., Zauner, J. &amp; Spitschan, M. Personal light exposure dataset for kumasi, ghana.</w:t>
      </w:r>
      <w:r>
        <w:t xml:space="preserve"> </w:t>
      </w:r>
      <w:hyperlink r:id="rId223">
        <w:r>
          <w:rPr>
            <w:rStyle w:val="Hyperlink"/>
          </w:rPr>
          <w:t xml:space="preserve">https://doi.org/10.5281/ZENODO.15576731</w:t>
        </w:r>
      </w:hyperlink>
      <w:r>
        <w:t xml:space="preserve"> </w:t>
      </w:r>
      <w:r>
        <w:t xml:space="preserve">(2025) doi:</w:t>
      </w:r>
      <w:hyperlink r:id="rId223">
        <w:r>
          <w:rPr>
            <w:rStyle w:val="Hyperlink"/>
          </w:rPr>
          <w:t xml:space="preserve">10.5281/ZENODO.15576731</w:t>
        </w:r>
      </w:hyperlink>
      <w:r>
        <w:t xml:space="preserve">.</w:t>
      </w:r>
    </w:p>
    <w:bookmarkEnd w:id="224"/>
    <w:bookmarkStart w:id="226" w:name="ref-baezamoyano2025"/>
    <w:p>
      <w:pPr>
        <w:pStyle w:val="Literaturverzeichnis"/>
      </w:pPr>
      <w:r>
        <w:t xml:space="preserve">82.</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25">
        <w:r>
          <w:rPr>
            <w:rStyle w:val="Hyperlink"/>
          </w:rPr>
          <w:t xml:space="preserve">https://doi.org/10.5281/ZENODO.16834951</w:t>
        </w:r>
      </w:hyperlink>
      <w:r>
        <w:t xml:space="preserve"> </w:t>
      </w:r>
      <w:r>
        <w:t xml:space="preserve">(2025) doi:</w:t>
      </w:r>
      <w:hyperlink r:id="rId225">
        <w:r>
          <w:rPr>
            <w:rStyle w:val="Hyperlink"/>
          </w:rPr>
          <w:t xml:space="preserve">10.5281/ZENODO.16834951</w:t>
        </w:r>
      </w:hyperlink>
      <w:r>
        <w:t xml:space="preserve">.</w:t>
      </w:r>
    </w:p>
    <w:bookmarkEnd w:id="226"/>
    <w:bookmarkStart w:id="228" w:name="ref-broszio2025"/>
    <w:p>
      <w:pPr>
        <w:pStyle w:val="Literaturverzeichnis"/>
      </w:pPr>
      <w:r>
        <w:t xml:space="preserve">83.</w:t>
      </w:r>
      <w:r>
        <w:t xml:space="preserve"> </w:t>
      </w:r>
      <w:r>
        <w:t xml:space="preserve">	</w:t>
      </w:r>
      <w:r>
        <w:t xml:space="preserve">Broszio, K., Zauner, J. &amp; Spitschan, M. Personal light exposure dataset for dortmund, germany.</w:t>
      </w:r>
      <w:r>
        <w:t xml:space="preserve"> </w:t>
      </w:r>
      <w:hyperlink r:id="rId227">
        <w:r>
          <w:rPr>
            <w:rStyle w:val="Hyperlink"/>
          </w:rPr>
          <w:t xml:space="preserve">https://doi.org/10.5281/ZENODO.18111232</w:t>
        </w:r>
      </w:hyperlink>
      <w:r>
        <w:t xml:space="preserve"> </w:t>
      </w:r>
      <w:r>
        <w:t xml:space="preserve">(2025) doi:</w:t>
      </w:r>
      <w:hyperlink r:id="rId227">
        <w:r>
          <w:rPr>
            <w:rStyle w:val="Hyperlink"/>
          </w:rPr>
          <w:t xml:space="preserve">10.5281/ZENODO.18111232</w:t>
        </w:r>
      </w:hyperlink>
      <w:r>
        <w:t xml:space="preserve">.</w:t>
      </w:r>
    </w:p>
    <w:bookmarkEnd w:id="228"/>
    <w:bookmarkStart w:id="230" w:name="ref-didikoglu2025"/>
    <w:p>
      <w:pPr>
        <w:pStyle w:val="Literaturverzeichnis"/>
      </w:pPr>
      <w:r>
        <w:t xml:space="preserve">84.</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29">
        <w:r>
          <w:rPr>
            <w:rStyle w:val="Hyperlink"/>
          </w:rPr>
          <w:t xml:space="preserve">https://doi.org/10.5281/ZENODO.16568109</w:t>
        </w:r>
      </w:hyperlink>
      <w:r>
        <w:t xml:space="preserve"> </w:t>
      </w:r>
      <w:r>
        <w:t xml:space="preserve">(2025) doi:</w:t>
      </w:r>
      <w:hyperlink r:id="rId229">
        <w:r>
          <w:rPr>
            <w:rStyle w:val="Hyperlink"/>
          </w:rPr>
          <w:t xml:space="preserve">10.5281/ZENODO.16568109</w:t>
        </w:r>
      </w:hyperlink>
      <w:r>
        <w:t xml:space="preserve">.</w:t>
      </w:r>
    </w:p>
    <w:bookmarkEnd w:id="230"/>
    <w:bookmarkStart w:id="232" w:name="ref-guidolin2025"/>
    <w:p>
      <w:pPr>
        <w:pStyle w:val="Literaturverzeichnis"/>
      </w:pPr>
      <w:r>
        <w:t xml:space="preserve">85.</w:t>
      </w:r>
      <w:r>
        <w:t xml:space="preserve"> </w:t>
      </w:r>
      <w:r>
        <w:t xml:space="preserve">	</w:t>
      </w:r>
      <w:r>
        <w:t xml:space="preserve">Guidolin, C., Zauner, J. &amp; Spitschan, M. Personal light exposure dataset for tuebingen, germany.</w:t>
      </w:r>
      <w:r>
        <w:t xml:space="preserve"> </w:t>
      </w:r>
      <w:hyperlink r:id="rId231">
        <w:r>
          <w:rPr>
            <w:rStyle w:val="Hyperlink"/>
          </w:rPr>
          <w:t xml:space="preserve">https://doi.org/10.5281/ZENODO.16895188</w:t>
        </w:r>
      </w:hyperlink>
      <w:r>
        <w:t xml:space="preserve"> </w:t>
      </w:r>
      <w:r>
        <w:t xml:space="preserve">(2025) doi:</w:t>
      </w:r>
      <w:hyperlink r:id="rId231">
        <w:r>
          <w:rPr>
            <w:rStyle w:val="Hyperlink"/>
          </w:rPr>
          <w:t xml:space="preserve">10.5281/ZENODO.16895188</w:t>
        </w:r>
      </w:hyperlink>
      <w:r>
        <w:t xml:space="preserve">.</w:t>
      </w:r>
    </w:p>
    <w:bookmarkEnd w:id="232"/>
    <w:bookmarkStart w:id="234" w:name="ref-sancho-salas2026"/>
    <w:p>
      <w:pPr>
        <w:pStyle w:val="Literaturverzeichnis"/>
      </w:pPr>
      <w:r>
        <w:t xml:space="preserve">86.</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33">
        <w:r>
          <w:rPr>
            <w:rStyle w:val="Hyperlink"/>
          </w:rPr>
          <w:t xml:space="preserve">https://doi.org/10.5281/ZENODO.17289456</w:t>
        </w:r>
      </w:hyperlink>
      <w:r>
        <w:t xml:space="preserve"> </w:t>
      </w:r>
      <w:r>
        <w:t xml:space="preserve">(2026) doi:</w:t>
      </w:r>
      <w:hyperlink r:id="rId233">
        <w:r>
          <w:rPr>
            <w:rStyle w:val="Hyperlink"/>
          </w:rPr>
          <w:t xml:space="preserve">10.5281/ZENODO.17289456</w:t>
        </w:r>
      </w:hyperlink>
      <w:r>
        <w:t xml:space="preserve">.</w:t>
      </w:r>
    </w:p>
    <w:bookmarkEnd w:id="234"/>
    <w:bookmarkStart w:id="236" w:name="ref-hilden2025"/>
    <w:p>
      <w:pPr>
        <w:pStyle w:val="Literaturverzeichnis"/>
      </w:pPr>
      <w:r>
        <w:t xml:space="preserve">87.</w:t>
      </w:r>
      <w:r>
        <w:t xml:space="preserve"> </w:t>
      </w:r>
      <w:r>
        <w:t xml:space="preserve">	</w:t>
      </w:r>
      <w:r>
        <w:t xml:space="preserve">Hilden, S., Lee, S., Zauner, J. &amp; Spitschan, M. Personal light exposure dataset for munich, germany.</w:t>
      </w:r>
      <w:r>
        <w:t xml:space="preserve"> </w:t>
      </w:r>
      <w:hyperlink r:id="rId235">
        <w:r>
          <w:rPr>
            <w:rStyle w:val="Hyperlink"/>
          </w:rPr>
          <w:t xml:space="preserve">https://doi.org/10.5281/ZENODO.16893901</w:t>
        </w:r>
      </w:hyperlink>
      <w:r>
        <w:t xml:space="preserve"> </w:t>
      </w:r>
      <w:r>
        <w:t xml:space="preserve">(2025) doi:</w:t>
      </w:r>
      <w:hyperlink r:id="rId235">
        <w:r>
          <w:rPr>
            <w:rStyle w:val="Hyperlink"/>
          </w:rPr>
          <w:t xml:space="preserve">10.5281/ZENODO.16893901</w:t>
        </w:r>
      </w:hyperlink>
      <w:r>
        <w:t xml:space="preserve">.</w:t>
      </w:r>
    </w:p>
    <w:bookmarkEnd w:id="236"/>
    <w:bookmarkStart w:id="238" w:name="ref-nilssontengelin2026"/>
    <w:p>
      <w:pPr>
        <w:pStyle w:val="Literaturverzeichnis"/>
      </w:pPr>
      <w:r>
        <w:t xml:space="preserve">88.</w:t>
      </w:r>
      <w:r>
        <w:t xml:space="preserve"> </w:t>
      </w:r>
      <w:r>
        <w:t xml:space="preserve">	</w:t>
      </w:r>
      <w:r>
        <w:t xml:space="preserve">Nilsson Tengelin, M., Svensson, I., Källberg, S., Zauner, J. &amp; Spitschan, M. Personal light exposure dataset for borås, sweden.</w:t>
      </w:r>
      <w:r>
        <w:t xml:space="preserve"> </w:t>
      </w:r>
      <w:hyperlink r:id="rId237">
        <w:r>
          <w:rPr>
            <w:rStyle w:val="Hyperlink"/>
          </w:rPr>
          <w:t xml:space="preserve">https://doi.org/10.5281/ZENODO.18925834</w:t>
        </w:r>
      </w:hyperlink>
      <w:r>
        <w:t xml:space="preserve"> </w:t>
      </w:r>
      <w:r>
        <w:t xml:space="preserve">(2026) doi:</w:t>
      </w:r>
      <w:hyperlink r:id="rId237">
        <w:r>
          <w:rPr>
            <w:rStyle w:val="Hyperlink"/>
          </w:rPr>
          <w:t xml:space="preserve">10.5281/ZENODO.18925834</w:t>
        </w:r>
      </w:hyperlink>
      <w:r>
        <w:t xml:space="preserve">.</w:t>
      </w:r>
    </w:p>
    <w:bookmarkEnd w:id="238"/>
    <w:bookmarkStart w:id="240" w:name="ref-aerts2025"/>
    <w:p>
      <w:pPr>
        <w:pStyle w:val="Literaturverzeichnis"/>
      </w:pPr>
      <w:r>
        <w:t xml:space="preserve">89.</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39">
        <w:r>
          <w:rPr>
            <w:rStyle w:val="Hyperlink"/>
          </w:rPr>
          <w:t xml:space="preserve">https://doi.org/10.5281/ZENODO.17979893</w:t>
        </w:r>
      </w:hyperlink>
      <w:r>
        <w:t xml:space="preserve"> </w:t>
      </w:r>
      <w:r>
        <w:t xml:space="preserve">(2025) doi:</w:t>
      </w:r>
      <w:hyperlink r:id="rId239">
        <w:r>
          <w:rPr>
            <w:rStyle w:val="Hyperlink"/>
          </w:rPr>
          <w:t xml:space="preserve">10.5281/ZENODO.17979893</w:t>
        </w:r>
      </w:hyperlink>
      <w:r>
        <w:t xml:space="preserve">.</w:t>
      </w:r>
    </w:p>
    <w:bookmarkEnd w:id="240"/>
    <w:bookmarkStart w:id="242" w:name="ref-zauner2026a"/>
    <w:p>
      <w:pPr>
        <w:pStyle w:val="Literaturverzeichnis"/>
      </w:pPr>
      <w:r>
        <w:t xml:space="preserve">90.</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1">
        <w:r>
          <w:rPr>
            <w:rStyle w:val="Hyperlink"/>
          </w:rPr>
          <w:t xml:space="preserve">https://doi.org/10.5281/ZENODO.19678543</w:t>
        </w:r>
      </w:hyperlink>
      <w:r>
        <w:t xml:space="preserve"> </w:t>
      </w:r>
      <w:r>
        <w:t xml:space="preserve">(2026) doi:</w:t>
      </w:r>
      <w:hyperlink r:id="rId241">
        <w:r>
          <w:rPr>
            <w:rStyle w:val="Hyperlink"/>
          </w:rPr>
          <w:t xml:space="preserve">10.5281/ZENODO.19678543</w:t>
        </w:r>
      </w:hyperlink>
      <w:r>
        <w:t xml:space="preserve">.</w:t>
      </w:r>
    </w:p>
    <w:bookmarkEnd w:id="242"/>
    <w:bookmarkStart w:id="244" w:name="ref-melidosData"/>
    <w:p>
      <w:pPr>
        <w:pStyle w:val="Literaturverzeichnis"/>
      </w:pPr>
      <w:r>
        <w:t xml:space="preserve">91.</w:t>
      </w:r>
      <w:r>
        <w:t xml:space="preserve"> </w:t>
      </w:r>
      <w:r>
        <w:t xml:space="preserve">	</w:t>
      </w:r>
      <w:r>
        <w:t xml:space="preserve">Zauner, J. &amp; Spitschan, M. melidosData: Load data from the MeLiDos field study.</w:t>
      </w:r>
      <w:r>
        <w:t xml:space="preserve"> </w:t>
      </w:r>
      <w:hyperlink r:id="rId243">
        <w:r>
          <w:rPr>
            <w:rStyle w:val="Hyperlink"/>
          </w:rPr>
          <w:t xml:space="preserve">https://melidosproject.github.io/melidosData/</w:t>
        </w:r>
      </w:hyperlink>
      <w:r>
        <w:t xml:space="preserve"> </w:t>
      </w:r>
      <w:r>
        <w:t xml:space="preserve">(2026).</w:t>
      </w:r>
    </w:p>
    <w:bookmarkEnd w:id="244"/>
    <w:bookmarkEnd w:id="245"/>
    <w:bookmarkEnd w:id="246"/>
    <w:bookmarkStart w:id="247" w:name="acknowledgements"/>
    <w:p>
      <w:pPr>
        <w:pStyle w:val="berschrift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47"/>
    <w:bookmarkStart w:id="248" w:name="funding"/>
    <w:p>
      <w:pPr>
        <w:pStyle w:val="berschrift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48"/>
    <w:bookmarkStart w:id="249" w:name="author-contributions"/>
    <w:p>
      <w:pPr>
        <w:pStyle w:val="berschrift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49"/>
    <w:bookmarkStart w:id="250" w:name="competing-interests"/>
    <w:p>
      <w:pPr>
        <w:pStyle w:val="berschrift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0"/>
    <w:bookmarkStart w:id="352" w:name="supplementary-information"/>
    <w:p>
      <w:pPr>
        <w:pStyle w:val="berschrift1"/>
      </w:pPr>
      <w:r>
        <w:t xml:space="preserve">Supplementary Information</w:t>
      </w:r>
    </w:p>
    <w:bookmarkStart w:id="311" w:name="study-support-and-exposure-definitions"/>
    <w:p>
      <w:pPr>
        <w:pStyle w:val="berschrift2"/>
      </w:pPr>
      <w:r>
        <w:t xml:space="preserve">Study support and exposure definitions</w:t>
      </w:r>
    </w:p>
    <w:bookmarkStart w:id="252" w:name="Xee1d6caa39c970d12ab0361fd7bfeebe7aa6829"/>
    <w:p>
      <w:pPr>
        <w:pStyle w:val="berschrift3"/>
      </w:pPr>
      <w:r>
        <w:t xml:space="preserve">Supplementary Table S1. Descriptive sample flow</w:t>
      </w:r>
    </w:p>
    <w:bookmarkStart w:id="251"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1"/>
    <w:bookmarkEnd w:id="252"/>
    <w:bookmarkStart w:id="305" w:name="X4f8781ec646a78d853b59e3b8e435fd4ba456d4"/>
    <w:p>
      <w:pPr>
        <w:pStyle w:val="berschrift3"/>
      </w:pPr>
      <w:r>
        <w:t xml:space="preserve">Supplementary Table S2. Full near-eye metric dictionary and distributions</w:t>
      </w:r>
    </w:p>
    <w:bookmarkStart w:id="304" w:name="supp-table-s2"/>
    <w:tbl>
      <w:tblPr>
        <w:tblStyle w:val="Table"/>
        <w:tblW w:type="pct" w:w="5000"/>
        <w:tblLayout w:type="fixed"/>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 (SE)</w:t>
            </w:r>
          </w:p>
        </w:tc>
        <w:tc>
          <w:tcPr/>
          <w:p>
            <w:pPr>
              <w:pStyle w:val="Compact"/>
            </w:pPr>
            <w:r>
              <w:t xml:space="preserve">Delft (NL)</w:t>
            </w:r>
          </w:p>
        </w:tc>
        <w:tc>
          <w:tcPr/>
          <w:p>
            <w:pPr>
              <w:pStyle w:val="Compact"/>
            </w:pPr>
            <w:r>
              <w:t xml:space="preserve">Dortmund (DE)</w:t>
            </w:r>
          </w:p>
        </w:tc>
        <w:tc>
          <w:tcPr/>
          <w:p>
            <w:pPr>
              <w:pStyle w:val="Compact"/>
            </w:pPr>
            <w:r>
              <w:t xml:space="preserve">Tübingen (DE)</w:t>
            </w:r>
          </w:p>
        </w:tc>
        <w:tc>
          <w:tcPr/>
          <w:p>
            <w:pPr>
              <w:pStyle w:val="Compact"/>
            </w:pPr>
            <w:r>
              <w:t xml:space="preserve">Munich (DE)</w:t>
            </w:r>
          </w:p>
        </w:tc>
        <w:tc>
          <w:tcPr/>
          <w:p>
            <w:pPr>
              <w:pStyle w:val="Compact"/>
            </w:pPr>
            <w:r>
              <w:t xml:space="preserve">Madrid (ES)</w:t>
            </w:r>
          </w:p>
        </w:tc>
        <w:tc>
          <w:tcPr/>
          <w:p>
            <w:pPr>
              <w:pStyle w:val="Compact"/>
            </w:pPr>
            <w:r>
              <w:t xml:space="preserve">Izmir (TR)</w:t>
            </w:r>
          </w:p>
        </w:tc>
        <w:tc>
          <w:tcPr/>
          <w:p>
            <w:pPr>
              <w:pStyle w:val="Compact"/>
            </w:pPr>
            <w:r>
              <w:t xml:space="preserve">San José (CR)</w:t>
            </w:r>
          </w:p>
        </w:tc>
        <w:tc>
          <w:tcPr/>
          <w:p>
            <w:pPr>
              <w:pStyle w:val="Compact"/>
            </w:pPr>
            <w:r>
              <w:t xml:space="preserve">Kumasi (GH)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 (base 10; threshold 1)</w:t>
            </w:r>
          </w:p>
        </w:tc>
        <w:tc>
          <w:tcPr/>
          <w:p>
            <w:pPr>
              <w:pStyle w:val="Compact"/>
            </w:pPr>
            <w:r>
              <w:t xml:space="preserve">Time above 1,000 lx melEDI distribution by site. Exact numerical summaries are in the adjacent cells.</w:t>
            </w:r>
            <w:r>
              <w:drawing>
                <wp:inline>
                  <wp:extent cx="5727700" cy="2291080"/>
                  <wp:effectExtent b="0" l="0" r="0" t="0"/>
                  <wp:docPr descr="" title="" id="254"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55" name="Picture"/>
                          <pic:cNvPicPr>
                            <a:picLocks noChangeArrowheads="1" noChangeAspect="1"/>
                          </pic:cNvPicPr>
                        </pic:nvPicPr>
                        <pic:blipFill>
                          <a:blip r:embed="rId25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 (base 10; threshold 1)</w:t>
            </w:r>
          </w:p>
        </w:tc>
        <w:tc>
          <w:tcPr/>
          <w:p>
            <w:pPr>
              <w:pStyle w:val="Compact"/>
            </w:pPr>
            <w:r>
              <w:t xml:space="preserve">Time above 250 lx melEDI during wake distribution by site. Exact numerical summaries are in the adjacent cells.</w:t>
            </w:r>
            <w:r>
              <w:drawing>
                <wp:inline>
                  <wp:extent cx="5727700" cy="2291080"/>
                  <wp:effectExtent b="0" l="0" r="0" t="0"/>
                  <wp:docPr descr="" title="" id="257"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58" name="Picture"/>
                          <pic:cNvPicPr>
                            <a:picLocks noChangeArrowheads="1" noChangeAspect="1"/>
                          </pic:cNvPicPr>
                        </pic:nvPicPr>
                        <pic:blipFill>
                          <a:blip r:embed="rId25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 (base 10; threshold 1)</w:t>
            </w:r>
          </w:p>
        </w:tc>
        <w:tc>
          <w:tcPr/>
          <w:p>
            <w:pPr>
              <w:pStyle w:val="Compact"/>
            </w:pPr>
            <w:r>
              <w:t xml:space="preserve">Time below 10 lx melEDI before sleep distribution by site. Exact numerical summaries are in the adjacent cells.</w:t>
            </w:r>
            <w:r>
              <w:drawing>
                <wp:inline>
                  <wp:extent cx="5727700" cy="2291080"/>
                  <wp:effectExtent b="0" l="0" r="0" t="0"/>
                  <wp:docPr descr="" title="" id="260"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61" name="Picture"/>
                          <pic:cNvPicPr>
                            <a:picLocks noChangeArrowheads="1" noChangeAspect="1"/>
                          </pic:cNvPicPr>
                        </pic:nvPicPr>
                        <pic:blipFill>
                          <a:blip r:embed="rId25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 (base 10; threshold 1)</w:t>
            </w:r>
          </w:p>
        </w:tc>
        <w:tc>
          <w:tcPr/>
          <w:p>
            <w:pPr>
              <w:pStyle w:val="Compact"/>
            </w:pPr>
            <w:r>
              <w:t xml:space="preserve">Time below 1 lx melEDI during sleep distribution by site. Exact numerical summaries are in the adjacent cells.</w:t>
            </w:r>
            <w:r>
              <w:drawing>
                <wp:inline>
                  <wp:extent cx="5727700" cy="2291080"/>
                  <wp:effectExtent b="0" l="0" r="0" t="0"/>
                  <wp:docPr descr="" title="" id="263"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64" name="Picture"/>
                          <pic:cNvPicPr>
                            <a:picLocks noChangeArrowheads="1" noChangeAspect="1"/>
                          </pic:cNvPicPr>
                        </pic:nvPicPr>
                        <pic:blipFill>
                          <a:blip r:embed="rId262"/>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 (base 10; threshold 1)</w:t>
            </w:r>
          </w:p>
        </w:tc>
        <w:tc>
          <w:tcPr/>
          <w:p>
            <w:pPr>
              <w:pStyle w:val="Compact"/>
            </w:pPr>
            <w:r>
              <w:t xml:space="preserve">Longest period above 250 lx melEDI distribution by site. Exact numerical summaries are in the adjacent cells.</w:t>
            </w:r>
            <w:r>
              <w:drawing>
                <wp:inline>
                  <wp:extent cx="5727700" cy="2291080"/>
                  <wp:effectExtent b="0" l="0" r="0" t="0"/>
                  <wp:docPr descr="" title="" id="266"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67" name="Picture"/>
                          <pic:cNvPicPr>
                            <a:picLocks noChangeArrowheads="1" noChangeAspect="1"/>
                          </pic:cNvPicPr>
                        </pic:nvPicPr>
                        <pic:blipFill>
                          <a:blip r:embed="rId265"/>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727700" cy="2291080"/>
                  <wp:effectExtent b="0" l="0" r="0" t="0"/>
                  <wp:docPr descr="" title="" id="269"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70" name="Picture"/>
                          <pic:cNvPicPr>
                            <a:picLocks noChangeArrowheads="1" noChangeAspect="1"/>
                          </pic:cNvPicPr>
                        </pic:nvPicPr>
                        <pic:blipFill>
                          <a:blip r:embed="rId268"/>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727700" cy="2291080"/>
                  <wp:effectExtent b="0" l="0" r="0" t="0"/>
                  <wp:docPr descr="" title="" id="272"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73" name="Picture"/>
                          <pic:cNvPicPr>
                            <a:picLocks noChangeArrowheads="1" noChangeAspect="1"/>
                          </pic:cNvPicPr>
                        </pic:nvPicPr>
                        <pic:blipFill>
                          <a:blip r:embed="rId271"/>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 (base 10; threshold 1)</w:t>
            </w:r>
          </w:p>
        </w:tc>
        <w:tc>
          <w:tcPr/>
          <w:p>
            <w:pPr>
              <w:pStyle w:val="Compact"/>
            </w:pPr>
            <w:r>
              <w:t xml:space="preserve">melEDI dose distribution by site. Exact numerical summaries are in the adjacent cells.</w:t>
            </w:r>
            <w:r>
              <w:drawing>
                <wp:inline>
                  <wp:extent cx="5727700" cy="2291080"/>
                  <wp:effectExtent b="0" l="0" r="0" t="0"/>
                  <wp:docPr descr="" title="" id="275"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76" name="Picture"/>
                          <pic:cNvPicPr>
                            <a:picLocks noChangeArrowheads="1" noChangeAspect="1"/>
                          </pic:cNvPicPr>
                        </pic:nvPicPr>
                        <pic:blipFill>
                          <a:blip r:embed="rId274"/>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 (base 10; threshold 1)</w:t>
            </w:r>
          </w:p>
        </w:tc>
        <w:tc>
          <w:tcPr/>
          <w:p>
            <w:pPr>
              <w:pStyle w:val="Compact"/>
            </w:pPr>
            <w:r>
              <w:t xml:space="preserve">Mean melEDI distribution by site. Exact numerical summaries are in the adjacent cells.</w:t>
            </w:r>
            <w:r>
              <w:drawing>
                <wp:inline>
                  <wp:extent cx="5727700" cy="2291080"/>
                  <wp:effectExtent b="0" l="0" r="0" t="0"/>
                  <wp:docPr descr="" title="" id="278"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79" name="Picture"/>
                          <pic:cNvPicPr>
                            <a:picLocks noChangeArrowheads="1" noChangeAspect="1"/>
                          </pic:cNvPicPr>
                        </pic:nvPicPr>
                        <pic:blipFill>
                          <a:blip r:embed="rId277"/>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 (base 10; threshold 1)</w:t>
            </w:r>
          </w:p>
        </w:tc>
        <w:tc>
          <w:tcPr/>
          <w:p>
            <w:pPr>
              <w:pStyle w:val="Compact"/>
            </w:pPr>
            <w:r>
              <w:t xml:space="preserve">Brightest 10 h mean distribution by site. Exact numerical summaries are in the adjacent cells.</w:t>
            </w:r>
            <w:r>
              <w:drawing>
                <wp:inline>
                  <wp:extent cx="5727700" cy="2291080"/>
                  <wp:effectExtent b="0" l="0" r="0" t="0"/>
                  <wp:docPr descr="" title="" id="281"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82" name="Picture"/>
                          <pic:cNvPicPr>
                            <a:picLocks noChangeArrowheads="1" noChangeAspect="1"/>
                          </pic:cNvPicPr>
                        </pic:nvPicPr>
                        <pic:blipFill>
                          <a:blip r:embed="rId28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 (base 10; threshold 1)</w:t>
            </w:r>
          </w:p>
        </w:tc>
        <w:tc>
          <w:tcPr/>
          <w:p>
            <w:pPr>
              <w:pStyle w:val="Compact"/>
            </w:pPr>
            <w:r>
              <w:t xml:space="preserve">Darkest 10 h mean distribution by site. Exact numerical summaries are in the adjacent cells.</w:t>
            </w:r>
            <w:r>
              <w:drawing>
                <wp:inline>
                  <wp:extent cx="5727700" cy="2291080"/>
                  <wp:effectExtent b="0" l="0" r="0" t="0"/>
                  <wp:docPr descr="" title="" id="284"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85" name="Picture"/>
                          <pic:cNvPicPr>
                            <a:picLocks noChangeArrowheads="1" noChangeAspect="1"/>
                          </pic:cNvPicPr>
                        </pic:nvPicPr>
                        <pic:blipFill>
                          <a:blip r:embed="rId283"/>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727700" cy="2291080"/>
                  <wp:effectExtent b="0" l="0" r="0" t="0"/>
                  <wp:docPr descr="" title="" id="287"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88" name="Picture"/>
                          <pic:cNvPicPr>
                            <a:picLocks noChangeArrowheads="1" noChangeAspect="1"/>
                          </pic:cNvPicPr>
                        </pic:nvPicPr>
                        <pic:blipFill>
                          <a:blip r:embed="rId286"/>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727700" cy="2291080"/>
                  <wp:effectExtent b="0" l="0" r="0" t="0"/>
                  <wp:docPr descr="" title="" id="290"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91" name="Picture"/>
                          <pic:cNvPicPr>
                            <a:picLocks noChangeArrowheads="1" noChangeAspect="1"/>
                          </pic:cNvPicPr>
                        </pic:nvPicPr>
                        <pic:blipFill>
                          <a:blip r:embed="rId28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727700" cy="2291080"/>
                  <wp:effectExtent b="0" l="0" r="0" t="0"/>
                  <wp:docPr descr="" title="" id="293"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294" name="Picture"/>
                          <pic:cNvPicPr>
                            <a:picLocks noChangeArrowheads="1" noChangeAspect="1"/>
                          </pic:cNvPicPr>
                        </pic:nvPicPr>
                        <pic:blipFill>
                          <a:blip r:embed="rId292"/>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727700" cy="2291080"/>
                  <wp:effectExtent b="0" l="0" r="0" t="0"/>
                  <wp:docPr descr="" title="" id="296"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297" name="Picture"/>
                          <pic:cNvPicPr>
                            <a:picLocks noChangeArrowheads="1" noChangeAspect="1"/>
                          </pic:cNvPicPr>
                        </pic:nvPicPr>
                        <pic:blipFill>
                          <a:blip r:embed="rId29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727700" cy="2291080"/>
                  <wp:effectExtent b="0" l="0" r="0" t="0"/>
                  <wp:docPr descr="" title="" id="299"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300" name="Picture"/>
                          <pic:cNvPicPr>
                            <a:picLocks noChangeArrowheads="1" noChangeAspect="1"/>
                          </pic:cNvPicPr>
                        </pic:nvPicPr>
                        <pic:blipFill>
                          <a:blip r:embed="rId298"/>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727700" cy="2291080"/>
                  <wp:effectExtent b="0" l="0" r="0" t="0"/>
                  <wp:docPr descr="" title="" id="302"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303" name="Picture"/>
                          <pic:cNvPicPr>
                            <a:picLocks noChangeArrowheads="1" noChangeAspect="1"/>
                          </pic:cNvPicPr>
                        </pic:nvPicPr>
                        <pic:blipFill>
                          <a:blip r:embed="rId301"/>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04"/>
    <w:bookmarkEnd w:id="305"/>
    <w:bookmarkStart w:id="307" w:name="Xbdd6cdc82df6f60ad7b98ddee204268d86e5648"/>
    <w:p>
      <w:pPr>
        <w:pStyle w:val="berschrift3"/>
      </w:pPr>
      <w:r>
        <w:t xml:space="preserve">Supplementary Table S3. Descriptive recommendation-range fractions</w:t>
      </w:r>
    </w:p>
    <w:bookmarkStart w:id="306"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306"/>
    <w:bookmarkEnd w:id="307"/>
    <w:bookmarkStart w:id="308" w:name="X6caab64abadceda6491a0f778c67f7f9feb455d"/>
    <w:p>
      <w:pPr>
        <w:pStyle w:val="berschrift3"/>
      </w:pPr>
      <w:r>
        <w:t xml:space="preserve">Supplementary Figure S1. Near-eye metric distributions</w:t>
      </w:r>
    </w:p>
    <w:p>
      <w:pPr>
        <w:pStyle w:val="FirstParagraph"/>
      </w:pPr>
    </w:p>
    <w:p>
      <w:pPr>
        <w:pStyle w:val="Textkrper"/>
      </w:pPr>
      <w:r>
        <w:t xml:space="preserve">Supplementary Figure S1.</w:t>
      </w:r>
      <w:r>
        <w:t xml:space="preserve"> </w:t>
      </w:r>
      <w:r>
        <w:t xml:space="preserve">Detailed near-eye metric distributions by country-coded study site.</w:t>
      </w:r>
    </w:p>
    <w:bookmarkEnd w:id="308"/>
    <w:bookmarkStart w:id="309" w:name="Xa74bbc484c90ccb5079a6e874d23e472c04a6bb"/>
    <w:p>
      <w:pPr>
        <w:pStyle w:val="berschrift3"/>
      </w:pPr>
      <w:r>
        <w:t xml:space="preserve">Supplementary Figure S2. Worked metric derivation</w:t>
      </w:r>
    </w:p>
    <w:p>
      <w:pPr>
        <w:pStyle w:val="FirstParagraph"/>
      </w:pPr>
    </w:p>
    <w:p>
      <w:pPr>
        <w:pStyle w:val="Textkrper"/>
      </w:pPr>
      <w:r>
        <w:t xml:space="preserve">Supplementary Figure S2.</w:t>
      </w:r>
      <w:r>
        <w:t xml:space="preserve"> </w:t>
      </w:r>
      <w:r>
        <w:t xml:space="preserve">Examples linking 30-minute time series to the daily time-above-250-lx metric.</w:t>
      </w:r>
    </w:p>
    <w:bookmarkEnd w:id="309"/>
    <w:bookmarkStart w:id="310" w:name="X36180e6f33fc49758de11039ab10eae490d5a68"/>
    <w:p>
      <w:pPr>
        <w:pStyle w:val="berschrift3"/>
      </w:pPr>
      <w:r>
        <w:t xml:space="preserve">Supplementary Figure S3. Latitude and civil-photoperiod measurement range</w:t>
      </w:r>
    </w:p>
    <w:p>
      <w:pPr>
        <w:pStyle w:val="FirstParagraph"/>
      </w:pPr>
    </w:p>
    <w:p>
      <w:pPr>
        <w:pStyle w:val="Textkrper"/>
      </w:pPr>
      <w:r>
        <w:t xml:space="preserve">Supplementary Figure S3.</w:t>
      </w:r>
      <w:r>
        <w:t xml:space="preserve"> </w:t>
      </w:r>
      <w:r>
        <w:t xml:space="preserve">Observed civil photoperiod and theoretical bounds by absolute latitude.</w:t>
      </w:r>
    </w:p>
    <w:bookmarkEnd w:id="310"/>
    <w:bookmarkEnd w:id="311"/>
    <w:bookmarkStart w:id="317" w:name="recommendation-adherence"/>
    <w:p>
      <w:pPr>
        <w:pStyle w:val="berschrift2"/>
      </w:pPr>
      <w:r>
        <w:t xml:space="preserve">Recommendation adherence</w:t>
      </w:r>
    </w:p>
    <w:p>
      <w:pPr>
        <w:pStyle w:val="FirstParagraph"/>
      </w:pPr>
      <w:r>
        <w:t xml:space="preserve">Daytime, Pre-sleep, and Sleep identify the Brown et al. recommendation windows.</w:t>
      </w:r>
    </w:p>
    <w:bookmarkStart w:id="312" w:name="X967f0b046f9234accdf6c51e75776693d681f60"/>
    <w:p>
      <w:pPr>
        <w:pStyle w:val="berschrift3"/>
      </w:pPr>
      <w:r>
        <w:t xml:space="preserve">Supplementary Figure S4. Site-average recommendation adherence</w:t>
      </w:r>
    </w:p>
    <w:p>
      <w:pPr>
        <w:pStyle w:val="FirstParagraph"/>
      </w:pPr>
    </w:p>
    <w:p>
      <w:pPr>
        <w:pStyle w:val="Textkrper"/>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2"/>
    <w:bookmarkStart w:id="313" w:name="X3fae3d4988a611e264c90335700ea93785d6b8e"/>
    <w:p>
      <w:pPr>
        <w:pStyle w:val="berschrift3"/>
      </w:pPr>
      <w:r>
        <w:t xml:space="preserve">Supplementary Figure S5. Site-specific adherence and day-type differences</w:t>
      </w:r>
    </w:p>
    <w:p>
      <w:pPr>
        <w:pStyle w:val="FirstParagraph"/>
      </w:pPr>
    </w:p>
    <w:p>
      <w:pPr>
        <w:pStyle w:val="Textkrper"/>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13"/>
    <w:bookmarkStart w:id="315" w:name="X8b25b3f835837e027bc091098603a04afb13419"/>
    <w:p>
      <w:pPr>
        <w:pStyle w:val="berschrift3"/>
      </w:pPr>
      <w:r>
        <w:t xml:space="preserve">Supplementary Table S4. Exploratory cross-window recommendation-adherence associations</w:t>
      </w:r>
    </w:p>
    <w:bookmarkStart w:id="314"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14"/>
    <w:bookmarkEnd w:id="315"/>
    <w:bookmarkStart w:id="316" w:name="X8e24d81121eac320a672be4609027c8efce53a5"/>
    <w:p>
      <w:pPr>
        <w:pStyle w:val="berschrift3"/>
      </w:pPr>
      <w:r>
        <w:t xml:space="preserve">Supplementary Figure S6. Anonymous participant recommendation-adherence profiles</w:t>
      </w:r>
    </w:p>
    <w:p>
      <w:pPr>
        <w:pStyle w:val="FirstParagraph"/>
      </w:pPr>
    </w:p>
    <w:p>
      <w:pPr>
        <w:pStyle w:val="Textkrper"/>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16"/>
    <w:bookmarkEnd w:id="317"/>
    <w:bookmarkStart w:id="322" w:name="daily-architecture"/>
    <w:p>
      <w:pPr>
        <w:pStyle w:val="berschrift2"/>
      </w:pPr>
      <w:r>
        <w:t xml:space="preserve">Daily architecture</w:t>
      </w:r>
    </w:p>
    <w:bookmarkStart w:id="319" w:name="X38d07be3dda453bccdc926fb1e2a7ad53989067"/>
    <w:p>
      <w:pPr>
        <w:pStyle w:val="berschrift3"/>
      </w:pPr>
      <w:r>
        <w:t xml:space="preserve">Supplementary Table S5. Near-eye fitted-curve dispersion and conditional Shapley allocation</w:t>
      </w:r>
    </w:p>
    <w:bookmarkStart w:id="318"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S5.</w:t>
      </w:r>
      <w:r>
        <w:t xml:space="preserve"> </w:t>
      </w:r>
      <w:r>
        <w:t xml:space="preserve">Near-eye fitted-curve dispersion and conditional Shapley allocation of in-sample model fit. Fitted-curve variation is in squared log10(melanopic EDI + 0.1 lx) prediction units; curve and Shapley ratios are unitless. Conditional Shapley values allocate in-sample R², with the shared local-clock curve included in every component model as the baseline. Intervals are 95% hierarchical cluster-bootstrap percentile intervals from 2,000 replicates and are conditional on the fitted models. These quantities describe different estimands and should not be added or interpreted causally.</w:t>
      </w:r>
    </w:p>
    <w:bookmarkEnd w:id="318"/>
    <w:bookmarkEnd w:id="319"/>
    <w:bookmarkStart w:id="321" w:name="X92672a376700984260ecc5324cbc29490f80dea"/>
    <w:p>
      <w:pPr>
        <w:pStyle w:val="berschrift3"/>
      </w:pPr>
      <w:r>
        <w:t xml:space="preserve">Supplementary Table S6. Chest fitted-curve dispersion and conditional Shapley allocation</w:t>
      </w:r>
    </w:p>
    <w:bookmarkStart w:id="320"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S6.</w:t>
      </w:r>
      <w:r>
        <w:t xml:space="preserve"> </w:t>
      </w:r>
      <w:r>
        <w:t xml:space="preserve">Complementary chest fitted-curve dispersion and conditional Shapley allocation of in-sample model fit. The quantities, bootstrap intervals, and interpretation follow Supplementary Table S5; chest and near-eye measurements remain distinct sensor-position estimands.</w:t>
      </w:r>
    </w:p>
    <w:bookmarkEnd w:id="320"/>
    <w:bookmarkEnd w:id="321"/>
    <w:bookmarkEnd w:id="322"/>
    <w:bookmarkStart w:id="328" w:name="geographic-and-civil-photoperiod-context"/>
    <w:p>
      <w:pPr>
        <w:pStyle w:val="berschrift2"/>
      </w:pPr>
      <w:r>
        <w:t xml:space="preserve">Geographic and civil-photoperiod context</w:t>
      </w:r>
    </w:p>
    <w:bookmarkStart w:id="323" w:name="Xc74a6238f864462acf864caf2b0f1edd60d5f9d"/>
    <w:p>
      <w:pPr>
        <w:pStyle w:val="berschrift3"/>
      </w:pPr>
      <w:r>
        <w:t xml:space="preserve">Supplementary Figure S7. Geographic support and nonlinear photoperiod classifications</w:t>
      </w:r>
    </w:p>
    <w:p>
      <w:pPr>
        <w:pStyle w:val="FirstParagraph"/>
      </w:pPr>
    </w:p>
    <w:p>
      <w:pPr>
        <w:pStyle w:val="Textkrper"/>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23"/>
    <w:bookmarkStart w:id="325" w:name="Xc9b2b279896c8555d8f498ae82e664667f05102"/>
    <w:p>
      <w:pPr>
        <w:pStyle w:val="berschrift3"/>
      </w:pPr>
      <w:r>
        <w:t xml:space="preserve">Supplementary Table S7. Geographic and photoperiod associations</w:t>
      </w:r>
    </w:p>
    <w:bookmarkStart w:id="324" w:name="supp-table-s7"/>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24"/>
    <w:bookmarkEnd w:id="325"/>
    <w:bookmarkStart w:id="327" w:name="Xca99e1d1df0f1191a26cf30686a644d1ed7fbce"/>
    <w:p>
      <w:pPr>
        <w:pStyle w:val="berschrift3"/>
      </w:pPr>
      <w:r>
        <w:t xml:space="preserve">Supplementary Table S8. Nonlinear civil-photoperiod classifications</w:t>
      </w:r>
    </w:p>
    <w:bookmarkStart w:id="326"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26"/>
    <w:bookmarkEnd w:id="327"/>
    <w:bookmarkEnd w:id="328"/>
    <w:bookmarkStart w:id="330" w:name="immediate-environments-and-routines"/>
    <w:p>
      <w:pPr>
        <w:pStyle w:val="berschrift2"/>
      </w:pPr>
      <w:r>
        <w:t xml:space="preserve">Immediate environments and routines</w:t>
      </w:r>
    </w:p>
    <w:bookmarkStart w:id="329" w:name="Xc0ff68847194d84721f06d8d4a256e37fb87e35"/>
    <w:p>
      <w:pPr>
        <w:pStyle w:val="berschrift3"/>
      </w:pPr>
      <w:r>
        <w:t xml:space="preserve">Supplementary Figure S8. Light-source category and local-clock pattern of near-eye melanopic EDI</w:t>
      </w:r>
    </w:p>
    <w:p>
      <w:pPr>
        <w:pStyle w:val="FirstParagraph"/>
      </w:pPr>
    </w:p>
    <w:p>
      <w:pPr>
        <w:pStyle w:val="Textkrper"/>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29"/>
    <w:bookmarkEnd w:id="330"/>
    <w:bookmarkStart w:id="337" w:name="hourly-routine-analyses"/>
    <w:p>
      <w:pPr>
        <w:pStyle w:val="berschrift2"/>
      </w:pPr>
      <w:r>
        <w:t xml:space="preserve">Hourly routine analyses</w:t>
      </w:r>
    </w:p>
    <w:bookmarkStart w:id="331" w:name="X7652973548e0e92457fc1c236fcb0c86891495d"/>
    <w:p>
      <w:pPr>
        <w:pStyle w:val="berschrift3"/>
      </w:pPr>
      <w:r>
        <w:t xml:space="preserve">Supplementary Figure S9. Paired sensor-position hourly associations</w:t>
      </w:r>
    </w:p>
    <w:p>
      <w:pPr>
        <w:pStyle w:val="FirstParagraph"/>
      </w:pPr>
    </w:p>
    <w:p>
      <w:pPr>
        <w:pStyle w:val="Textkrper"/>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1"/>
    <w:bookmarkStart w:id="332" w:name="Xc14d43722afd172891a82a7b9f067859691ede0"/>
    <w:p>
      <w:pPr>
        <w:pStyle w:val="berschrift3"/>
      </w:pPr>
      <w:r>
        <w:t xml:space="preserve">Supplementary Figure S10. Free-versus-Work hourly timing</w:t>
      </w:r>
    </w:p>
    <w:p>
      <w:pPr>
        <w:pStyle w:val="FirstParagraph"/>
      </w:pPr>
    </w:p>
    <w:p>
      <w:pPr>
        <w:pStyle w:val="Textkrper"/>
      </w:pPr>
      <w:r>
        <w:t xml:space="preserve">Supplementary Figure S10.</w:t>
      </w:r>
      <w:r>
        <w:t xml:space="preserve"> </w:t>
      </w:r>
      <w:r>
        <w:t xml:space="preserve">Exploratory Free-versus-Work hourly fitted exposure and response-scale ratio curves with 95% confidence intervals and participant-hour support.</w:t>
      </w:r>
    </w:p>
    <w:bookmarkEnd w:id="332"/>
    <w:bookmarkStart w:id="333" w:name="Xb7770f1eb15d5753db432f96d1c0bef9006b6b7"/>
    <w:p>
      <w:pPr>
        <w:pStyle w:val="berschrift3"/>
      </w:pPr>
      <w:r>
        <w:t xml:space="preserve">Supplementary Figure S11. Active-versus-Sedentary hourly timing</w:t>
      </w:r>
    </w:p>
    <w:p>
      <w:pPr>
        <w:pStyle w:val="FirstParagraph"/>
      </w:pPr>
    </w:p>
    <w:p>
      <w:pPr>
        <w:pStyle w:val="Textkrper"/>
      </w:pPr>
      <w:r>
        <w:t xml:space="preserve">Supplementary Figure S11.</w:t>
      </w:r>
      <w:r>
        <w:t xml:space="preserve"> </w:t>
      </w:r>
      <w:r>
        <w:t xml:space="preserve">Exploratory Active-versus-Sedentary hourly fitted exposure and response-scale ratio curves with 95% confidence intervals and participant-hour support.</w:t>
      </w:r>
    </w:p>
    <w:bookmarkEnd w:id="333"/>
    <w:bookmarkStart w:id="334" w:name="X84d3f0448ee69b6247cb45b947e6a14ec228bb4"/>
    <w:p>
      <w:pPr>
        <w:pStyle w:val="berschrift3"/>
      </w:pPr>
      <w:r>
        <w:t xml:space="preserve">Supplementary Figure S12. Site-specific hourly routine associations</w:t>
      </w:r>
    </w:p>
    <w:p>
      <w:pPr>
        <w:pStyle w:val="FirstParagraph"/>
      </w:pPr>
    </w:p>
    <w:p>
      <w:pPr>
        <w:pStyle w:val="Textkrper"/>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34"/>
    <w:bookmarkStart w:id="336" w:name="X1376e5473288146f90a9e3d90393bb36776a857"/>
    <w:p>
      <w:pPr>
        <w:pStyle w:val="berschrift3"/>
      </w:pPr>
      <w:r>
        <w:t xml:space="preserve">Supplementary Table S9. Participant-hour routine associations</w:t>
      </w:r>
    </w:p>
    <w:bookmarkStart w:id="335"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35"/>
    <w:bookmarkEnd w:id="336"/>
    <w:bookmarkEnd w:id="337"/>
    <w:bookmarkStart w:id="350" w:name="person-level-findings"/>
    <w:p>
      <w:pPr>
        <w:pStyle w:val="berschrift2"/>
      </w:pPr>
      <w:r>
        <w:t xml:space="preserve">Person-level findings</w:t>
      </w:r>
    </w:p>
    <w:bookmarkStart w:id="339" w:name="X100ed30b9c88fde3c075d322e0f5e12a8611526"/>
    <w:p>
      <w:pPr>
        <w:pStyle w:val="berschrift3"/>
      </w:pPr>
      <w:r>
        <w:t xml:space="preserve">Supplementary Table S10. Person-level evidence synthesis</w:t>
      </w:r>
    </w:p>
    <w:bookmarkStart w:id="338"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38"/>
    <w:bookmarkEnd w:id="339"/>
    <w:bookmarkStart w:id="341" w:name="Xaea52e9e2c94a170bbebcdd4a9d760b037259e2"/>
    <w:p>
      <w:pPr>
        <w:pStyle w:val="berschrift3"/>
      </w:pPr>
      <w:r>
        <w:t xml:space="preserve">Supplementary Figure S13 and Table S11. Light-exposure behaviour and awareness</w:t>
      </w:r>
    </w:p>
    <w:p>
      <w:pPr>
        <w:pStyle w:val="FirstParagraph"/>
      </w:pPr>
    </w:p>
    <w:p>
      <w:pPr>
        <w:pStyle w:val="Textkrper"/>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0"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40"/>
    <w:bookmarkEnd w:id="341"/>
    <w:bookmarkStart w:id="343" w:name="X3f12d67038e761d70da42953438cba411f60624"/>
    <w:p>
      <w:pPr>
        <w:pStyle w:val="berschrift3"/>
      </w:pPr>
      <w:r>
        <w:t xml:space="preserve">Supplementary Figure S14 and Table S12. Visual light sensitivity</w:t>
      </w:r>
    </w:p>
    <w:p>
      <w:pPr>
        <w:pStyle w:val="FirstParagraph"/>
      </w:pPr>
    </w:p>
    <w:p>
      <w:pPr>
        <w:pStyle w:val="Textkrper"/>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2"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42"/>
    <w:bookmarkEnd w:id="343"/>
    <w:bookmarkStart w:id="345" w:name="X496d48116284f3ea70da3e8d2ba7fac5536aea2"/>
    <w:p>
      <w:pPr>
        <w:pStyle w:val="berschrift3"/>
      </w:pPr>
      <w:r>
        <w:t xml:space="preserve">Supplementary Figure S15 and Table S13. Chronotype and timing</w:t>
      </w:r>
    </w:p>
    <w:p>
      <w:pPr>
        <w:pStyle w:val="FirstParagraph"/>
      </w:pPr>
    </w:p>
    <w:p>
      <w:pPr>
        <w:pStyle w:val="Textkrper"/>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are primary; chest estimates, where shown, are complementary non-ocular evidence.</w:t>
      </w:r>
    </w:p>
    <w:bookmarkStart w:id="344"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44"/>
    <w:bookmarkEnd w:id="345"/>
    <w:bookmarkStart w:id="347" w:name="X5ea8c111c320bfc9b2f54f225e8746c79488ceb"/>
    <w:p>
      <w:pPr>
        <w:pStyle w:val="berschrift3"/>
      </w:pPr>
      <w:r>
        <w:t xml:space="preserve">Supplementary Figure S16 and Table S14. Age and biological sex</w:t>
      </w:r>
    </w:p>
    <w:p>
      <w:pPr>
        <w:pStyle w:val="FirstParagraph"/>
      </w:pPr>
    </w:p>
    <w:p>
      <w:pPr>
        <w:pStyle w:val="Textkrper"/>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46"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46"/>
    <w:bookmarkEnd w:id="347"/>
    <w:bookmarkStart w:id="349" w:name="Xa4f2b398fe1c6416793e91b0062529de2ba001a"/>
    <w:p>
      <w:pPr>
        <w:pStyle w:val="berschrift3"/>
      </w:pPr>
      <w:r>
        <w:t xml:space="preserve">Supplementary Figure S17 and Table S15. Biological-sex-specific daily curves</w:t>
      </w:r>
    </w:p>
    <w:p>
      <w:pPr>
        <w:pStyle w:val="FirstParagraph"/>
      </w:pPr>
    </w:p>
    <w:p>
      <w:pPr>
        <w:pStyle w:val="Textkrper"/>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48"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48"/>
    <w:bookmarkEnd w:id="349"/>
    <w:bookmarkEnd w:id="350"/>
    <w:bookmarkStart w:id="351"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1"/>
    <w:bookmarkEnd w:id="352"/>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32" Target="media/rId32.png" /><Relationship Type="http://schemas.openxmlformats.org/officeDocument/2006/relationships/image" Id="rId256" Target="media/rId256.png" /><Relationship Type="http://schemas.openxmlformats.org/officeDocument/2006/relationships/image" Id="rId301" Target="media/rId301.png" /><Relationship Type="http://schemas.openxmlformats.org/officeDocument/2006/relationships/image" Id="rId289" Target="media/rId289.png" /><Relationship Type="http://schemas.openxmlformats.org/officeDocument/2006/relationships/image" Id="rId268" Target="media/rId268.png" /><Relationship Type="http://schemas.openxmlformats.org/officeDocument/2006/relationships/image" Id="rId259" Target="media/rId259.png" /><Relationship Type="http://schemas.openxmlformats.org/officeDocument/2006/relationships/image" Id="rId280" Target="media/rId280.png" /><Relationship Type="http://schemas.openxmlformats.org/officeDocument/2006/relationships/image" Id="rId274" Target="media/rId274.png" /><Relationship Type="http://schemas.openxmlformats.org/officeDocument/2006/relationships/image" Id="rId298" Target="media/rId298.png" /><Relationship Type="http://schemas.openxmlformats.org/officeDocument/2006/relationships/image" Id="rId277" Target="media/rId277.png" /><Relationship Type="http://schemas.openxmlformats.org/officeDocument/2006/relationships/image" Id="rId253" Target="media/rId253.png" /><Relationship Type="http://schemas.openxmlformats.org/officeDocument/2006/relationships/image" Id="rId286" Target="media/rId286.png" /><Relationship Type="http://schemas.openxmlformats.org/officeDocument/2006/relationships/image" Id="rId271" Target="media/rId271.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292" Target="media/rId292.png" /><Relationship Type="http://schemas.openxmlformats.org/officeDocument/2006/relationships/image" Id="rId295" Target="media/rId295.png" /><Relationship Type="http://schemas.openxmlformats.org/officeDocument/2006/relationships/image" Id="rId283" Target="media/rId283.png" /><Relationship Type="http://schemas.openxmlformats.org/officeDocument/2006/relationships/hyperlink" Id="rId221" Target="https://aspredicted.org/te3zw2.pdf" TargetMode="External" /><Relationship Type="http://schemas.openxmlformats.org/officeDocument/2006/relationships/hyperlink" Id="rId89" Target="https://doi.org/10.1001/jamanetworkopen.2025.39031" TargetMode="External" /><Relationship Type="http://schemas.openxmlformats.org/officeDocument/2006/relationships/hyperlink" Id="rId101" Target="https://doi.org/10.1007/s10654-018-0398-4" TargetMode="External" /><Relationship Type="http://schemas.openxmlformats.org/officeDocument/2006/relationships/hyperlink" Id="rId205" Target="https://doi.org/10.1007/s11222-005-4070-y" TargetMode="External" /><Relationship Type="http://schemas.openxmlformats.org/officeDocument/2006/relationships/hyperlink" Id="rId69" Target="https://doi.org/10.1007/s11818-019-00215-x" TargetMode="External" /><Relationship Type="http://schemas.openxmlformats.org/officeDocument/2006/relationships/hyperlink" Id="rId79" Target="https://doi.org/10.1007/s11920-026-01671-7" TargetMode="External" /><Relationship Type="http://schemas.openxmlformats.org/officeDocument/2006/relationships/hyperlink" Id="rId107" Target="https://doi.org/10.1016/0031-9384(86)90427-0" TargetMode="External" /><Relationship Type="http://schemas.openxmlformats.org/officeDocument/2006/relationships/hyperlink" Id="rId115" Target="https://doi.org/10.1016/j.buildenv.2025.112771" TargetMode="External" /><Relationship Type="http://schemas.openxmlformats.org/officeDocument/2006/relationships/hyperlink" Id="rId161" Target="https://doi.org/10.1016/j.clinph.2006.03.011" TargetMode="External" /><Relationship Type="http://schemas.openxmlformats.org/officeDocument/2006/relationships/hyperlink" Id="rId163" Target="https://doi.org/10.1016/j.jad.2016.06.065" TargetMode="External" /><Relationship Type="http://schemas.openxmlformats.org/officeDocument/2006/relationships/hyperlink" Id="rId165" Target="https://doi.org/10.1016/j.jadr.2020.100020" TargetMode="External" /><Relationship Type="http://schemas.openxmlformats.org/officeDocument/2006/relationships/hyperlink" Id="rId87" Target="https://doi.org/10.1016/j.lanepe.2024.100943" TargetMode="External" /><Relationship Type="http://schemas.openxmlformats.org/officeDocument/2006/relationships/hyperlink" Id="rId129" Target="https://doi.org/10.1016/j.measurement.2024.114909" TargetMode="External" /><Relationship Type="http://schemas.openxmlformats.org/officeDocument/2006/relationships/hyperlink" Id="rId105" Target="https://doi.org/10.1016/j.scitotenv.2025.178839" TargetMode="External" /><Relationship Type="http://schemas.openxmlformats.org/officeDocument/2006/relationships/hyperlink" Id="rId199" Target="https://doi.org/10.1037/1082-989X.8.2.129" TargetMode="External" /><Relationship Type="http://schemas.openxmlformats.org/officeDocument/2006/relationships/hyperlink" Id="rId111" Target="https://doi.org/10.1038/s41370-025-00825-8" TargetMode="External" /><Relationship Type="http://schemas.openxmlformats.org/officeDocument/2006/relationships/hyperlink" Id="rId137" Target="https://doi.org/10.1038/s41598-023-43102-0" TargetMode="External" /><Relationship Type="http://schemas.openxmlformats.org/officeDocument/2006/relationships/hyperlink" Id="rId181" Target="https://doi.org/10.1038/s41598-023-48241-y" TargetMode="External" /><Relationship Type="http://schemas.openxmlformats.org/officeDocument/2006/relationships/hyperlink" Id="rId85" Target="https://doi.org/10.1038/s44220-023-00135-8" TargetMode="External" /><Relationship Type="http://schemas.openxmlformats.org/officeDocument/2006/relationships/hyperlink" Id="rId133" Target="https://doi.org/10.1038/s44271-024-00159-5" TargetMode="External" /><Relationship Type="http://schemas.openxmlformats.org/officeDocument/2006/relationships/hyperlink" Id="rId147" Target="https://doi.org/10.1038/s44323-025-00067-9" TargetMode="External" /><Relationship Type="http://schemas.openxmlformats.org/officeDocument/2006/relationships/hyperlink" Id="rId123" Target="https://doi.org/10.1038/s44323-026-00073-5" TargetMode="External" /><Relationship Type="http://schemas.openxmlformats.org/officeDocument/2006/relationships/hyperlink" Id="rId121" Target="https://doi.org/10.1038/s44323-026-00079-z" TargetMode="External" /><Relationship Type="http://schemas.openxmlformats.org/officeDocument/2006/relationships/hyperlink" Id="rId81" Target="https://doi.org/10.1073/pnas.2301608120" TargetMode="External" /><Relationship Type="http://schemas.openxmlformats.org/officeDocument/2006/relationships/hyperlink" Id="rId91" Target="https://doi.org/10.1073/pnas.2405924121" TargetMode="External" /><Relationship Type="http://schemas.openxmlformats.org/officeDocument/2006/relationships/hyperlink" Id="rId139" Target="https://doi.org/10.1080/07420528.2024.2381590" TargetMode="External" /><Relationship Type="http://schemas.openxmlformats.org/officeDocument/2006/relationships/hyperlink" Id="rId109" Target="https://doi.org/10.1093/annweh/wxab092" TargetMode="External" /><Relationship Type="http://schemas.openxmlformats.org/officeDocument/2006/relationships/hyperlink" Id="rId167" Target="https://doi.org/10.1093/jamiaopen/ooac047" TargetMode="External" /><Relationship Type="http://schemas.openxmlformats.org/officeDocument/2006/relationships/hyperlink" Id="rId97" Target="https://doi.org/10.1093/sleep/zsac130" TargetMode="External" /><Relationship Type="http://schemas.openxmlformats.org/officeDocument/2006/relationships/hyperlink" Id="rId149" Target="https://doi.org/10.1093/sleep/zsaf358" TargetMode="External" /><Relationship Type="http://schemas.openxmlformats.org/officeDocument/2006/relationships/hyperlink" Id="rId67" Target="https://doi.org/10.1101/sqb.2007.72.043" TargetMode="External" /><Relationship Type="http://schemas.openxmlformats.org/officeDocument/2006/relationships/hyperlink" Id="rId63" Target="https://doi.org/10.1101/sqb.2007.72.064" TargetMode="External" /><Relationship Type="http://schemas.openxmlformats.org/officeDocument/2006/relationships/hyperlink" Id="rId195" Target="https://doi.org/10.1111/j.1467-9868.2010.00749.x" TargetMode="External" /><Relationship Type="http://schemas.openxmlformats.org/officeDocument/2006/relationships/hyperlink" Id="rId203" Target="https://doi.org/10.1111/j.2517-6161.1987.tb01685.x" TargetMode="External" /><Relationship Type="http://schemas.openxmlformats.org/officeDocument/2006/relationships/hyperlink" Id="rId217" Target="https://doi.org/10.1111/j.2517-6161.1995.tb02031.x" TargetMode="External" /><Relationship Type="http://schemas.openxmlformats.org/officeDocument/2006/relationships/hyperlink" Id="rId75" Target="https://doi.org/10.1111/jpi.12655" TargetMode="External" /><Relationship Type="http://schemas.openxmlformats.org/officeDocument/2006/relationships/hyperlink" Id="rId99" Target="https://doi.org/10.1111/jpi.70023" TargetMode="External" /><Relationship Type="http://schemas.openxmlformats.org/officeDocument/2006/relationships/hyperlink" Id="rId141" Target="https://doi.org/10.1111/jsr.14315" TargetMode="External" /><Relationship Type="http://schemas.openxmlformats.org/officeDocument/2006/relationships/hyperlink" Id="rId103" Target="https://doi.org/10.1126/science.aay3164" TargetMode="External" /><Relationship Type="http://schemas.openxmlformats.org/officeDocument/2006/relationships/hyperlink" Id="rId171" Target="https://doi.org/10.1158/1055-9965.epi-11-0204" TargetMode="External" /><Relationship Type="http://schemas.openxmlformats.org/officeDocument/2006/relationships/hyperlink" Id="rId125" Target="https://doi.org/10.1167/tvst.13.10.28" TargetMode="External" /><Relationship Type="http://schemas.openxmlformats.org/officeDocument/2006/relationships/hyperlink" Id="rId177" Target="https://doi.org/10.1167/tvst.6.4.18" TargetMode="External" /><Relationship Type="http://schemas.openxmlformats.org/officeDocument/2006/relationships/hyperlink" Id="rId93" Target="https://doi.org/10.1177/0004867420968886" TargetMode="External" /><Relationship Type="http://schemas.openxmlformats.org/officeDocument/2006/relationships/hyperlink" Id="rId173" Target="https://doi.org/10.1177/0748730415597520" TargetMode="External" /><Relationship Type="http://schemas.openxmlformats.org/officeDocument/2006/relationships/hyperlink" Id="rId189" Target="https://doi.org/10.1177/07487304251336624" TargetMode="External" /><Relationship Type="http://schemas.openxmlformats.org/officeDocument/2006/relationships/hyperlink" Id="rId193" Target="https://doi.org/10.1177/096228029500400302" TargetMode="External" /><Relationship Type="http://schemas.openxmlformats.org/officeDocument/2006/relationships/hyperlink" Id="rId117" Target="https://doi.org/10.1177/14771535221103258" TargetMode="External" /><Relationship Type="http://schemas.openxmlformats.org/officeDocument/2006/relationships/hyperlink" Id="rId187" Target="https://doi.org/10.1177/14771535231170500" TargetMode="External" /><Relationship Type="http://schemas.openxmlformats.org/officeDocument/2006/relationships/hyperlink" Id="rId131" Target="https://doi.org/10.1186/s12889-024-20206-4" TargetMode="External" /><Relationship Type="http://schemas.openxmlformats.org/officeDocument/2006/relationships/hyperlink" Id="rId71" Target="https://doi.org/10.1186/s12916-025-04608-8" TargetMode="External" /><Relationship Type="http://schemas.openxmlformats.org/officeDocument/2006/relationships/hyperlink" Id="rId201" Target="https://doi.org/10.1198/000313007X188252" TargetMode="External" /><Relationship Type="http://schemas.openxmlformats.org/officeDocument/2006/relationships/hyperlink" Id="rId95" Target="https://doi.org/10.1210/jc.2015-4123" TargetMode="External" /><Relationship Type="http://schemas.openxmlformats.org/officeDocument/2006/relationships/hyperlink" Id="rId191" Target="https://doi.org/10.1214/ss/1177013604" TargetMode="External" /><Relationship Type="http://schemas.openxmlformats.org/officeDocument/2006/relationships/hyperlink" Id="rId145" Target="https://doi.org/10.12688/openreseurope.20985.1" TargetMode="External" /><Relationship Type="http://schemas.openxmlformats.org/officeDocument/2006/relationships/hyperlink" Id="rId113" Target="https://doi.org/10.1289/EHP3431" TargetMode="External" /><Relationship Type="http://schemas.openxmlformats.org/officeDocument/2006/relationships/hyperlink" Id="rId65" Target="https://doi.org/10.1371/journal.pbio.1000145" TargetMode="External" /><Relationship Type="http://schemas.openxmlformats.org/officeDocument/2006/relationships/hyperlink" Id="rId77" Target="https://doi.org/10.1371/journal.pbio.3001571" TargetMode="External" /><Relationship Type="http://schemas.openxmlformats.org/officeDocument/2006/relationships/hyperlink" Id="rId155" Target="https://doi.org/10.1371/journal.pone.0308768" TargetMode="External" /><Relationship Type="http://schemas.openxmlformats.org/officeDocument/2006/relationships/hyperlink" Id="rId207" Target="https://doi.org/10.18637/jss.v067.i01" TargetMode="External" /><Relationship Type="http://schemas.openxmlformats.org/officeDocument/2006/relationships/hyperlink" Id="rId219" Target="https://doi.org/10.21105/joss.01686" TargetMode="External" /><Relationship Type="http://schemas.openxmlformats.org/officeDocument/2006/relationships/hyperlink" Id="rId211" Target="https://doi.org/10.21105/joss.03139" TargetMode="External" /><Relationship Type="http://schemas.openxmlformats.org/officeDocument/2006/relationships/hyperlink" Id="rId215" Target="https://doi.org/10.21105/joss.06962" TargetMode="External" /><Relationship Type="http://schemas.openxmlformats.org/officeDocument/2006/relationships/hyperlink" Id="rId185" Target="https://doi.org/10.21105/joss.07601" TargetMode="External" /><Relationship Type="http://schemas.openxmlformats.org/officeDocument/2006/relationships/hyperlink" Id="rId73" Target="https://doi.org/10.25039/S026.2018" TargetMode="External" /><Relationship Type="http://schemas.openxmlformats.org/officeDocument/2006/relationships/hyperlink" Id="rId119" Target="https://doi.org/10.25039/x051.2025/62xbgg" TargetMode="External" /><Relationship Type="http://schemas.openxmlformats.org/officeDocument/2006/relationships/hyperlink" Id="rId213" Target="https://doi.org/10.32614/CRAN.package.emmeans" TargetMode="External" /><Relationship Type="http://schemas.openxmlformats.org/officeDocument/2006/relationships/hyperlink" Id="rId209" Target="https://doi.org/10.32614/RJ-2017-066" TargetMode="External" /><Relationship Type="http://schemas.openxmlformats.org/officeDocument/2006/relationships/hyperlink" Id="rId153" Target="https://doi.org/10.3389/fpsyt.2023.1199989" TargetMode="External" /><Relationship Type="http://schemas.openxmlformats.org/officeDocument/2006/relationships/hyperlink" Id="rId83" Target="https://doi.org/10.3389/frsle.2023.1268379" TargetMode="External" /><Relationship Type="http://schemas.openxmlformats.org/officeDocument/2006/relationships/hyperlink" Id="rId135" Target="https://doi.org/10.3390/biology8030054" TargetMode="External" /><Relationship Type="http://schemas.openxmlformats.org/officeDocument/2006/relationships/hyperlink" Id="rId143" Target="https://doi.org/10.3390/clockssleep6040042" TargetMode="External" /><Relationship Type="http://schemas.openxmlformats.org/officeDocument/2006/relationships/hyperlink" Id="rId179" Target="https://doi.org/10.3390/ijerph192013599" TargetMode="External" /><Relationship Type="http://schemas.openxmlformats.org/officeDocument/2006/relationships/hyperlink" Id="rId157" Target="https://doi.org/10.3758/s13428-025-02823-y" TargetMode="External" /><Relationship Type="http://schemas.openxmlformats.org/officeDocument/2006/relationships/hyperlink" Id="rId151" Target="https://doi.org/10.48550/arXiv.2606.20719" TargetMode="External" /><Relationship Type="http://schemas.openxmlformats.org/officeDocument/2006/relationships/hyperlink" Id="rId169" Target="https://doi.org/10.5195/jmla.2018.319" TargetMode="External" /><Relationship Type="http://schemas.openxmlformats.org/officeDocument/2006/relationships/hyperlink" Id="rId223" Target="https://doi.org/10.5281/ZENODO.15576731" TargetMode="External" /><Relationship Type="http://schemas.openxmlformats.org/officeDocument/2006/relationships/hyperlink" Id="rId229" Target="https://doi.org/10.5281/ZENODO.16568109" TargetMode="External" /><Relationship Type="http://schemas.openxmlformats.org/officeDocument/2006/relationships/hyperlink" Id="rId225" Target="https://doi.org/10.5281/ZENODO.16834951" TargetMode="External" /><Relationship Type="http://schemas.openxmlformats.org/officeDocument/2006/relationships/hyperlink" Id="rId235" Target="https://doi.org/10.5281/ZENODO.16893901" TargetMode="External" /><Relationship Type="http://schemas.openxmlformats.org/officeDocument/2006/relationships/hyperlink" Id="rId231" Target="https://doi.org/10.5281/ZENODO.16895188" TargetMode="External" /><Relationship Type="http://schemas.openxmlformats.org/officeDocument/2006/relationships/hyperlink" Id="rId233" Target="https://doi.org/10.5281/ZENODO.17289456" TargetMode="External" /><Relationship Type="http://schemas.openxmlformats.org/officeDocument/2006/relationships/hyperlink" Id="rId239" Target="https://doi.org/10.5281/ZENODO.17979893" TargetMode="External" /><Relationship Type="http://schemas.openxmlformats.org/officeDocument/2006/relationships/hyperlink" Id="rId227" Target="https://doi.org/10.5281/ZENODO.18111232" TargetMode="External" /><Relationship Type="http://schemas.openxmlformats.org/officeDocument/2006/relationships/hyperlink" Id="rId237" Target="https://doi.org/10.5281/ZENODO.18925834" TargetMode="External" /><Relationship Type="http://schemas.openxmlformats.org/officeDocument/2006/relationships/hyperlink" Id="rId241" Target="https://doi.org/10.5281/ZENODO.19678543" TargetMode="External" /><Relationship Type="http://schemas.openxmlformats.org/officeDocument/2006/relationships/hyperlink" Id="rId61" Target="https://doi.org/10.5281/zenodo.20547314" TargetMode="External" /><Relationship Type="http://schemas.openxmlformats.org/officeDocument/2006/relationships/hyperlink" Id="rId159" Target="https://doi.org/10.5665/sleep.1642" TargetMode="External" /><Relationship Type="http://schemas.openxmlformats.org/officeDocument/2006/relationships/hyperlink" Id="rId127" Target="https://doi.org/10.64898/2026.07.28.741277" TargetMode="External" /><Relationship Type="http://schemas.openxmlformats.org/officeDocument/2006/relationships/hyperlink" Id="rId197" Target="https://doi.org/10.7717/peerj.6876" TargetMode="External" /><Relationship Type="http://schemas.openxmlformats.org/officeDocument/2006/relationships/hyperlink" Id="rId56" Target="https://github.com/MeLiDosProject" TargetMode="External" /><Relationship Type="http://schemas.openxmlformats.org/officeDocument/2006/relationships/hyperlink" Id="rId59" Target="https://github.com/tscnlab/ZaunerEtAl_bioRxiv_2026" TargetMode="External" /><Relationship Type="http://schemas.openxmlformats.org/officeDocument/2006/relationships/hyperlink" Id="rId243" Target="https://melidosproject.github.io/melidosData/" TargetMode="External" /><Relationship Type="http://schemas.openxmlformats.org/officeDocument/2006/relationships/hyperlink" Id="rId60" Target="https://tscnlab.github.io/ZaunerEtAl_bioRxiv_2026/" TargetMode="External" /><Relationship Type="http://schemas.openxmlformats.org/officeDocument/2006/relationships/hyperlink" Id="rId183" Target="https://www.R-project.org/" TargetMode="External" /><Relationship Type="http://schemas.openxmlformats.org/officeDocument/2006/relationships/hyperlink" Id="rId175" Target="https://www.ncbi.nlm.nih.gov/pubmed/1027738" TargetMode="External" /><Relationship Type="http://schemas.openxmlformats.org/officeDocument/2006/relationships/hyperlink" Id="rId57" Target="https://zenodo.org/communities/22nrm05_melidos/" TargetMode="External" /></Relationships>
</file>

<file path=word/_rels/footnotes.xml.rels><?xml version="1.0" encoding="UTF-8"?><Relationships xmlns="http://schemas.openxmlformats.org/package/2006/relationships"><Relationship Type="http://schemas.openxmlformats.org/officeDocument/2006/relationships/hyperlink" Id="rId221" Target="https://aspredicted.org/te3zw2.pdf" TargetMode="External" /><Relationship Type="http://schemas.openxmlformats.org/officeDocument/2006/relationships/hyperlink" Id="rId89" Target="https://doi.org/10.1001/jamanetworkopen.2025.39031" TargetMode="External" /><Relationship Type="http://schemas.openxmlformats.org/officeDocument/2006/relationships/hyperlink" Id="rId101" Target="https://doi.org/10.1007/s10654-018-0398-4" TargetMode="External" /><Relationship Type="http://schemas.openxmlformats.org/officeDocument/2006/relationships/hyperlink" Id="rId205" Target="https://doi.org/10.1007/s11222-005-4070-y" TargetMode="External" /><Relationship Type="http://schemas.openxmlformats.org/officeDocument/2006/relationships/hyperlink" Id="rId69" Target="https://doi.org/10.1007/s11818-019-00215-x" TargetMode="External" /><Relationship Type="http://schemas.openxmlformats.org/officeDocument/2006/relationships/hyperlink" Id="rId79" Target="https://doi.org/10.1007/s11920-026-01671-7" TargetMode="External" /><Relationship Type="http://schemas.openxmlformats.org/officeDocument/2006/relationships/hyperlink" Id="rId107" Target="https://doi.org/10.1016/0031-9384(86)90427-0" TargetMode="External" /><Relationship Type="http://schemas.openxmlformats.org/officeDocument/2006/relationships/hyperlink" Id="rId115" Target="https://doi.org/10.1016/j.buildenv.2025.112771" TargetMode="External" /><Relationship Type="http://schemas.openxmlformats.org/officeDocument/2006/relationships/hyperlink" Id="rId161" Target="https://doi.org/10.1016/j.clinph.2006.03.011" TargetMode="External" /><Relationship Type="http://schemas.openxmlformats.org/officeDocument/2006/relationships/hyperlink" Id="rId163" Target="https://doi.org/10.1016/j.jad.2016.06.065" TargetMode="External" /><Relationship Type="http://schemas.openxmlformats.org/officeDocument/2006/relationships/hyperlink" Id="rId165" Target="https://doi.org/10.1016/j.jadr.2020.100020" TargetMode="External" /><Relationship Type="http://schemas.openxmlformats.org/officeDocument/2006/relationships/hyperlink" Id="rId87" Target="https://doi.org/10.1016/j.lanepe.2024.100943" TargetMode="External" /><Relationship Type="http://schemas.openxmlformats.org/officeDocument/2006/relationships/hyperlink" Id="rId129" Target="https://doi.org/10.1016/j.measurement.2024.114909" TargetMode="External" /><Relationship Type="http://schemas.openxmlformats.org/officeDocument/2006/relationships/hyperlink" Id="rId105" Target="https://doi.org/10.1016/j.scitotenv.2025.178839" TargetMode="External" /><Relationship Type="http://schemas.openxmlformats.org/officeDocument/2006/relationships/hyperlink" Id="rId199" Target="https://doi.org/10.1037/1082-989X.8.2.129" TargetMode="External" /><Relationship Type="http://schemas.openxmlformats.org/officeDocument/2006/relationships/hyperlink" Id="rId111" Target="https://doi.org/10.1038/s41370-025-00825-8" TargetMode="External" /><Relationship Type="http://schemas.openxmlformats.org/officeDocument/2006/relationships/hyperlink" Id="rId137" Target="https://doi.org/10.1038/s41598-023-43102-0" TargetMode="External" /><Relationship Type="http://schemas.openxmlformats.org/officeDocument/2006/relationships/hyperlink" Id="rId181" Target="https://doi.org/10.1038/s41598-023-48241-y" TargetMode="External" /><Relationship Type="http://schemas.openxmlformats.org/officeDocument/2006/relationships/hyperlink" Id="rId85" Target="https://doi.org/10.1038/s44220-023-00135-8" TargetMode="External" /><Relationship Type="http://schemas.openxmlformats.org/officeDocument/2006/relationships/hyperlink" Id="rId133" Target="https://doi.org/10.1038/s44271-024-00159-5" TargetMode="External" /><Relationship Type="http://schemas.openxmlformats.org/officeDocument/2006/relationships/hyperlink" Id="rId147" Target="https://doi.org/10.1038/s44323-025-00067-9" TargetMode="External" /><Relationship Type="http://schemas.openxmlformats.org/officeDocument/2006/relationships/hyperlink" Id="rId123" Target="https://doi.org/10.1038/s44323-026-00073-5" TargetMode="External" /><Relationship Type="http://schemas.openxmlformats.org/officeDocument/2006/relationships/hyperlink" Id="rId121" Target="https://doi.org/10.1038/s44323-026-00079-z" TargetMode="External" /><Relationship Type="http://schemas.openxmlformats.org/officeDocument/2006/relationships/hyperlink" Id="rId81" Target="https://doi.org/10.1073/pnas.2301608120" TargetMode="External" /><Relationship Type="http://schemas.openxmlformats.org/officeDocument/2006/relationships/hyperlink" Id="rId91" Target="https://doi.org/10.1073/pnas.2405924121" TargetMode="External" /><Relationship Type="http://schemas.openxmlformats.org/officeDocument/2006/relationships/hyperlink" Id="rId139" Target="https://doi.org/10.1080/07420528.2024.2381590" TargetMode="External" /><Relationship Type="http://schemas.openxmlformats.org/officeDocument/2006/relationships/hyperlink" Id="rId109" Target="https://doi.org/10.1093/annweh/wxab092" TargetMode="External" /><Relationship Type="http://schemas.openxmlformats.org/officeDocument/2006/relationships/hyperlink" Id="rId167" Target="https://doi.org/10.1093/jamiaopen/ooac047" TargetMode="External" /><Relationship Type="http://schemas.openxmlformats.org/officeDocument/2006/relationships/hyperlink" Id="rId97" Target="https://doi.org/10.1093/sleep/zsac130" TargetMode="External" /><Relationship Type="http://schemas.openxmlformats.org/officeDocument/2006/relationships/hyperlink" Id="rId149" Target="https://doi.org/10.1093/sleep/zsaf358" TargetMode="External" /><Relationship Type="http://schemas.openxmlformats.org/officeDocument/2006/relationships/hyperlink" Id="rId67" Target="https://doi.org/10.1101/sqb.2007.72.043" TargetMode="External" /><Relationship Type="http://schemas.openxmlformats.org/officeDocument/2006/relationships/hyperlink" Id="rId63" Target="https://doi.org/10.1101/sqb.2007.72.064" TargetMode="External" /><Relationship Type="http://schemas.openxmlformats.org/officeDocument/2006/relationships/hyperlink" Id="rId195" Target="https://doi.org/10.1111/j.1467-9868.2010.00749.x" TargetMode="External" /><Relationship Type="http://schemas.openxmlformats.org/officeDocument/2006/relationships/hyperlink" Id="rId203" Target="https://doi.org/10.1111/j.2517-6161.1987.tb01685.x" TargetMode="External" /><Relationship Type="http://schemas.openxmlformats.org/officeDocument/2006/relationships/hyperlink" Id="rId217" Target="https://doi.org/10.1111/j.2517-6161.1995.tb02031.x" TargetMode="External" /><Relationship Type="http://schemas.openxmlformats.org/officeDocument/2006/relationships/hyperlink" Id="rId75" Target="https://doi.org/10.1111/jpi.12655" TargetMode="External" /><Relationship Type="http://schemas.openxmlformats.org/officeDocument/2006/relationships/hyperlink" Id="rId99" Target="https://doi.org/10.1111/jpi.70023" TargetMode="External" /><Relationship Type="http://schemas.openxmlformats.org/officeDocument/2006/relationships/hyperlink" Id="rId141" Target="https://doi.org/10.1111/jsr.14315" TargetMode="External" /><Relationship Type="http://schemas.openxmlformats.org/officeDocument/2006/relationships/hyperlink" Id="rId103" Target="https://doi.org/10.1126/science.aay3164" TargetMode="External" /><Relationship Type="http://schemas.openxmlformats.org/officeDocument/2006/relationships/hyperlink" Id="rId171" Target="https://doi.org/10.1158/1055-9965.epi-11-0204" TargetMode="External" /><Relationship Type="http://schemas.openxmlformats.org/officeDocument/2006/relationships/hyperlink" Id="rId125" Target="https://doi.org/10.1167/tvst.13.10.28" TargetMode="External" /><Relationship Type="http://schemas.openxmlformats.org/officeDocument/2006/relationships/hyperlink" Id="rId177" Target="https://doi.org/10.1167/tvst.6.4.18" TargetMode="External" /><Relationship Type="http://schemas.openxmlformats.org/officeDocument/2006/relationships/hyperlink" Id="rId93" Target="https://doi.org/10.1177/0004867420968886" TargetMode="External" /><Relationship Type="http://schemas.openxmlformats.org/officeDocument/2006/relationships/hyperlink" Id="rId173" Target="https://doi.org/10.1177/0748730415597520" TargetMode="External" /><Relationship Type="http://schemas.openxmlformats.org/officeDocument/2006/relationships/hyperlink" Id="rId189" Target="https://doi.org/10.1177/07487304251336624" TargetMode="External" /><Relationship Type="http://schemas.openxmlformats.org/officeDocument/2006/relationships/hyperlink" Id="rId193" Target="https://doi.org/10.1177/096228029500400302" TargetMode="External" /><Relationship Type="http://schemas.openxmlformats.org/officeDocument/2006/relationships/hyperlink" Id="rId117" Target="https://doi.org/10.1177/14771535221103258" TargetMode="External" /><Relationship Type="http://schemas.openxmlformats.org/officeDocument/2006/relationships/hyperlink" Id="rId187" Target="https://doi.org/10.1177/14771535231170500" TargetMode="External" /><Relationship Type="http://schemas.openxmlformats.org/officeDocument/2006/relationships/hyperlink" Id="rId131" Target="https://doi.org/10.1186/s12889-024-20206-4" TargetMode="External" /><Relationship Type="http://schemas.openxmlformats.org/officeDocument/2006/relationships/hyperlink" Id="rId71" Target="https://doi.org/10.1186/s12916-025-04608-8" TargetMode="External" /><Relationship Type="http://schemas.openxmlformats.org/officeDocument/2006/relationships/hyperlink" Id="rId201" Target="https://doi.org/10.1198/000313007X188252" TargetMode="External" /><Relationship Type="http://schemas.openxmlformats.org/officeDocument/2006/relationships/hyperlink" Id="rId95" Target="https://doi.org/10.1210/jc.2015-4123" TargetMode="External" /><Relationship Type="http://schemas.openxmlformats.org/officeDocument/2006/relationships/hyperlink" Id="rId191" Target="https://doi.org/10.1214/ss/1177013604" TargetMode="External" /><Relationship Type="http://schemas.openxmlformats.org/officeDocument/2006/relationships/hyperlink" Id="rId145" Target="https://doi.org/10.12688/openreseurope.20985.1" TargetMode="External" /><Relationship Type="http://schemas.openxmlformats.org/officeDocument/2006/relationships/hyperlink" Id="rId113" Target="https://doi.org/10.1289/EHP3431" TargetMode="External" /><Relationship Type="http://schemas.openxmlformats.org/officeDocument/2006/relationships/hyperlink" Id="rId65" Target="https://doi.org/10.1371/journal.pbio.1000145" TargetMode="External" /><Relationship Type="http://schemas.openxmlformats.org/officeDocument/2006/relationships/hyperlink" Id="rId77" Target="https://doi.org/10.1371/journal.pbio.3001571" TargetMode="External" /><Relationship Type="http://schemas.openxmlformats.org/officeDocument/2006/relationships/hyperlink" Id="rId155" Target="https://doi.org/10.1371/journal.pone.0308768" TargetMode="External" /><Relationship Type="http://schemas.openxmlformats.org/officeDocument/2006/relationships/hyperlink" Id="rId207" Target="https://doi.org/10.18637/jss.v067.i01" TargetMode="External" /><Relationship Type="http://schemas.openxmlformats.org/officeDocument/2006/relationships/hyperlink" Id="rId219" Target="https://doi.org/10.21105/joss.01686" TargetMode="External" /><Relationship Type="http://schemas.openxmlformats.org/officeDocument/2006/relationships/hyperlink" Id="rId211" Target="https://doi.org/10.21105/joss.03139" TargetMode="External" /><Relationship Type="http://schemas.openxmlformats.org/officeDocument/2006/relationships/hyperlink" Id="rId215" Target="https://doi.org/10.21105/joss.06962" TargetMode="External" /><Relationship Type="http://schemas.openxmlformats.org/officeDocument/2006/relationships/hyperlink" Id="rId185" Target="https://doi.org/10.21105/joss.07601" TargetMode="External" /><Relationship Type="http://schemas.openxmlformats.org/officeDocument/2006/relationships/hyperlink" Id="rId73" Target="https://doi.org/10.25039/S026.2018" TargetMode="External" /><Relationship Type="http://schemas.openxmlformats.org/officeDocument/2006/relationships/hyperlink" Id="rId119" Target="https://doi.org/10.25039/x051.2025/62xbgg" TargetMode="External" /><Relationship Type="http://schemas.openxmlformats.org/officeDocument/2006/relationships/hyperlink" Id="rId213" Target="https://doi.org/10.32614/CRAN.package.emmeans" TargetMode="External" /><Relationship Type="http://schemas.openxmlformats.org/officeDocument/2006/relationships/hyperlink" Id="rId209" Target="https://doi.org/10.32614/RJ-2017-066" TargetMode="External" /><Relationship Type="http://schemas.openxmlformats.org/officeDocument/2006/relationships/hyperlink" Id="rId153" Target="https://doi.org/10.3389/fpsyt.2023.1199989" TargetMode="External" /><Relationship Type="http://schemas.openxmlformats.org/officeDocument/2006/relationships/hyperlink" Id="rId83" Target="https://doi.org/10.3389/frsle.2023.1268379" TargetMode="External" /><Relationship Type="http://schemas.openxmlformats.org/officeDocument/2006/relationships/hyperlink" Id="rId135" Target="https://doi.org/10.3390/biology8030054" TargetMode="External" /><Relationship Type="http://schemas.openxmlformats.org/officeDocument/2006/relationships/hyperlink" Id="rId143" Target="https://doi.org/10.3390/clockssleep6040042" TargetMode="External" /><Relationship Type="http://schemas.openxmlformats.org/officeDocument/2006/relationships/hyperlink" Id="rId179" Target="https://doi.org/10.3390/ijerph192013599" TargetMode="External" /><Relationship Type="http://schemas.openxmlformats.org/officeDocument/2006/relationships/hyperlink" Id="rId157" Target="https://doi.org/10.3758/s13428-025-02823-y" TargetMode="External" /><Relationship Type="http://schemas.openxmlformats.org/officeDocument/2006/relationships/hyperlink" Id="rId151" Target="https://doi.org/10.48550/arXiv.2606.20719" TargetMode="External" /><Relationship Type="http://schemas.openxmlformats.org/officeDocument/2006/relationships/hyperlink" Id="rId169" Target="https://doi.org/10.5195/jmla.2018.319" TargetMode="External" /><Relationship Type="http://schemas.openxmlformats.org/officeDocument/2006/relationships/hyperlink" Id="rId223" Target="https://doi.org/10.5281/ZENODO.15576731" TargetMode="External" /><Relationship Type="http://schemas.openxmlformats.org/officeDocument/2006/relationships/hyperlink" Id="rId229" Target="https://doi.org/10.5281/ZENODO.16568109" TargetMode="External" /><Relationship Type="http://schemas.openxmlformats.org/officeDocument/2006/relationships/hyperlink" Id="rId225" Target="https://doi.org/10.5281/ZENODO.16834951" TargetMode="External" /><Relationship Type="http://schemas.openxmlformats.org/officeDocument/2006/relationships/hyperlink" Id="rId235" Target="https://doi.org/10.5281/ZENODO.16893901" TargetMode="External" /><Relationship Type="http://schemas.openxmlformats.org/officeDocument/2006/relationships/hyperlink" Id="rId231" Target="https://doi.org/10.5281/ZENODO.16895188" TargetMode="External" /><Relationship Type="http://schemas.openxmlformats.org/officeDocument/2006/relationships/hyperlink" Id="rId233" Target="https://doi.org/10.5281/ZENODO.17289456" TargetMode="External" /><Relationship Type="http://schemas.openxmlformats.org/officeDocument/2006/relationships/hyperlink" Id="rId239" Target="https://doi.org/10.5281/ZENODO.17979893" TargetMode="External" /><Relationship Type="http://schemas.openxmlformats.org/officeDocument/2006/relationships/hyperlink" Id="rId227" Target="https://doi.org/10.5281/ZENODO.18111232" TargetMode="External" /><Relationship Type="http://schemas.openxmlformats.org/officeDocument/2006/relationships/hyperlink" Id="rId237" Target="https://doi.org/10.5281/ZENODO.18925834" TargetMode="External" /><Relationship Type="http://schemas.openxmlformats.org/officeDocument/2006/relationships/hyperlink" Id="rId241" Target="https://doi.org/10.5281/ZENODO.19678543" TargetMode="External" /><Relationship Type="http://schemas.openxmlformats.org/officeDocument/2006/relationships/hyperlink" Id="rId61" Target="https://doi.org/10.5281/zenodo.20547314" TargetMode="External" /><Relationship Type="http://schemas.openxmlformats.org/officeDocument/2006/relationships/hyperlink" Id="rId159" Target="https://doi.org/10.5665/sleep.1642" TargetMode="External" /><Relationship Type="http://schemas.openxmlformats.org/officeDocument/2006/relationships/hyperlink" Id="rId127" Target="https://doi.org/10.64898/2026.07.28.741277" TargetMode="External" /><Relationship Type="http://schemas.openxmlformats.org/officeDocument/2006/relationships/hyperlink" Id="rId197" Target="https://doi.org/10.7717/peerj.6876" TargetMode="External" /><Relationship Type="http://schemas.openxmlformats.org/officeDocument/2006/relationships/hyperlink" Id="rId56" Target="https://github.com/MeLiDosProject" TargetMode="External" /><Relationship Type="http://schemas.openxmlformats.org/officeDocument/2006/relationships/hyperlink" Id="rId59" Target="https://github.com/tscnlab/ZaunerEtAl_bioRxiv_2026" TargetMode="External" /><Relationship Type="http://schemas.openxmlformats.org/officeDocument/2006/relationships/hyperlink" Id="rId243" Target="https://melidosproject.github.io/melidosData/" TargetMode="External" /><Relationship Type="http://schemas.openxmlformats.org/officeDocument/2006/relationships/hyperlink" Id="rId60" Target="https://tscnlab.github.io/ZaunerEtAl_bioRxiv_2026/" TargetMode="External" /><Relationship Type="http://schemas.openxmlformats.org/officeDocument/2006/relationships/hyperlink" Id="rId183" Target="https://www.R-project.org/" TargetMode="External" /><Relationship Type="http://schemas.openxmlformats.org/officeDocument/2006/relationships/hyperlink" Id="rId175" Target="https://www.ncbi.nlm.nih.gov/pubmed/1027738" TargetMode="External" /><Relationship Type="http://schemas.openxmlformats.org/officeDocument/2006/relationships/hyperlink" Id="rId57" Target="https://zenodo.org/communities/22nrm05_melid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 Altug Didikoglu; Sam Aerts; Gabriel Kwaku Agbeshie; Kwadwo Owusu Akuffo; Sena Gulsum Akgun; Sema Nur Aydin; David Baeza Moyano; Daan Boesten; John F.B. Bolte; Kai Broszio; Guadalupe Cantarero García; Roberto Alonso González Lezcano; Carolina Guidolin; Sarina Hilden; Nico Hogervorst; Astrid Jansen; Zeynep Kayar; Stefan Källberg; Suyoun Lee; Sofía Melero Tur; Maria Nilsson Tengelin; María Concepción Pérez Gutiérrez; Andrea Sancho-Salas; Oliver Stefani; Ingemar Svensson; Helga von-Breymann; Manuel Spitschan</dc:creator>
  <dc:language>en-GB</dc:language>
  <cp:keywords>ocular light exposure, melanopic equivalent daylight illuminance, wearable sensing, environmental health, exposome, non-communicable disease, circadian light, multicountry study</cp:keywords>
  <dcterms:created xsi:type="dcterms:W3CDTF">2026-09-02T17:45:54Z</dcterms:created>
  <dcterms:modified xsi:type="dcterms:W3CDTF">2026-09-02T17:45:54Z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Personal light exposure is associated with sleep and non-communicable diseases, but its architecture remains unresolved. We analysed 191 adults at nine sites in seven countries; 184 contributed 1,478 participant-days, including near-eye data from 141 adults and 816 participant-days and complementary chest data from 154 adults and 902 participant-days. Near-eye exposure followed a 24-hour rhythm structured across several scales. The shared local-clock pattern received 78.9% of in-sample model-fit credit, participant patterns 12.9%, participant-day shifts 6.2% and site patterns 2.0%. Separately, participant patterns were 1.80 times as dispersed as site patterns. Reported light source and immediate setting produced large contrasts and received the next-largest allocations after time of day: 24.2% and 30.7% in separate exploratory in-sample decompositions. Site, civil-photoperiod and measured person-level associations were metric-specific. Only 24.0% of waking daytime minutes reached the recommended exposure. This study provides a multiscale observational account of the amplitude and everyday organisation of ocular light exposure.</vt:lpwstr>
  </property>
  <property fmtid="{D5CDD505-2E9C-101B-9397-08002B2CF9AE}" pid="3" name="abstract-title">
    <vt:lpwstr>Abstract</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references_merged.bib</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../../nature.csl</vt:lpwstr>
  </property>
  <property fmtid="{D5CDD505-2E9C-101B-9397-08002B2CF9AE}" pid="12" name="date">
    <vt:lpwstr>2026-08-21</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k-citations">
    <vt:lpwstr>True</vt:lpwstr>
  </property>
  <property fmtid="{D5CDD505-2E9C-101B-9397-08002B2CF9AE}" pid="19" name="reference-section-title">
    <vt:lpwstr>References</vt:lpwstr>
  </property>
  <property fmtid="{D5CDD505-2E9C-101B-9397-08002B2CF9AE}" pid="20" name="toc-title">
    <vt:lpwstr>Table of contents</vt:lpwstr>
  </property>
</Properties>
</file>