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8.png" ContentType="image/png"/>
  <Override PartName="/word/media/rId21.png" ContentType="image/png"/>
  <Override PartName="/word/media/rId35.png" ContentType="image/png"/>
  <Override PartName="/word/media/rId263.png" ContentType="image/png"/>
  <Override PartName="/word/media/rId308.png" ContentType="image/png"/>
  <Override PartName="/word/media/rId296.png" ContentType="image/png"/>
  <Override PartName="/word/media/rId275.png" ContentType="image/png"/>
  <Override PartName="/word/media/rId266.png" ContentType="image/png"/>
  <Override PartName="/word/media/rId287.png" ContentType="image/png"/>
  <Override PartName="/word/media/rId281.png" ContentType="image/png"/>
  <Override PartName="/word/media/rId305.png" ContentType="image/png"/>
  <Override PartName="/word/media/rId284.png" ContentType="image/png"/>
  <Override PartName="/word/media/rId260.png" ContentType="image/png"/>
  <Override PartName="/word/media/rId293.png" ContentType="image/png"/>
  <Override PartName="/word/media/rId278.png" ContentType="image/png"/>
  <Override PartName="/word/media/rId269.png" ContentType="image/png"/>
  <Override PartName="/word/media/rId272.png" ContentType="image/png"/>
  <Override PartName="/word/media/rId299.png" ContentType="image/png"/>
  <Override PartName="/word/media/rId302.png" ContentType="image/png"/>
  <Override PartName="/word/media/rId2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multiscale architecture of personal light exposure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Site, civil-photoperiod and person-level associations were metric-specific rather than uniform.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Existing studies establish population relevance but mostly measured broad-spectrum light at the wrist or bedside,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to establish a multisite baseline against the recommendation windows and quantify contributions from local-clock pattern, site and photoperiod, participant and participant-day, immediate environment and routine, and selected person-level correlates. These nested contributions define the multiscale architecture of personal light exposure.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24" w:name="fig-study-overview"/>
          <w:p>
            <w:pPr>
              <w:pStyle w:val="Compact"/>
              <w:jc w:val="center"/>
            </w:pPr>
            <w:r>
              <w:drawing>
                <wp:inline>
                  <wp:extent cx="5727700" cy="5454952"/>
                  <wp:effectExtent b="0" l="0" r="0" t="0"/>
                  <wp:docPr descr="" title="" id="22" name="Picture"/>
                  <a:graphic>
                    <a:graphicData uri="http://schemas.openxmlformats.org/drawingml/2006/picture">
                      <pic:pic>
                        <pic:nvPicPr>
                          <pic:cNvPr descr="../../artifacts/10_figures/descriptives/descriptive_overview.png" id="23" name="Picture"/>
                          <pic:cNvPicPr>
                            <a:picLocks noChangeArrowheads="1" noChangeAspect="1"/>
                          </pic:cNvPicPr>
                        </pic:nvPicPr>
                        <pic:blipFill>
                          <a:blip r:embed="rId21"/>
                          <a:stretch>
                            <a:fillRect/>
                          </a:stretch>
                        </pic:blipFill>
                        <pic:spPr bwMode="auto">
                          <a:xfrm>
                            <a:off x="0" y="0"/>
                            <a:ext cx="5727700" cy="5454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4"/>
        </w:tc>
      </w:tr>
    </w:tbl>
    <w:p>
      <w:pPr>
        <w:pStyle w:val="Textkrper"/>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25"/>
          <w:p/>
        </w:tc>
      </w:tr>
    </w:tbl>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Fixed predictors explained 58.4% of variance on the design-standardized response scale, the participant intercept added 2.2 percentage points and observation and distribution variation accounted for 39.4%; conditional R² was 60.6%. Within marginal R², Shapley shares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tbl>
      <w:tblPr>
        <w:tblStyle w:val="Table"/>
        <w:tblW w:type="pct" w:w="5000"/>
        <w:tblLayout w:type="fixed"/>
        <w:tblLook w:firstRow="0" w:lastRow="0" w:firstColumn="0" w:lastColumn="0" w:noHBand="0" w:noVBand="0" w:val="0000"/>
      </w:tblPr>
      <w:tblGrid>
        <w:gridCol w:w="7920"/>
      </w:tblGrid>
      <w:tr>
        <w:tc>
          <w:tcPr/>
          <w:bookmarkStart w:id="26" w:name="tbl-brown-adherence"/>
          <w:p>
            <w:pPr>
              <w:jc w:val="center"/>
            </w:pPr>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Recommendation adherence by recommendation window and day type</w:t>
                  </w:r>
                </w:p>
              </w:tc>
            </w:tr>
            <w:tr>
              <w:trPr>
                <w:tblHeader w:val="on"/>
              </w:trPr>
              <w:tc>
                <w:tcPr>
                  <w:vMerge w:val="restart"/>
                </w:tcPr>
                <w:p>
                  <w:pPr>
                    <w:pStyle w:val="Compact"/>
                  </w:pPr>
                </w:p>
              </w:tc>
              <w:tc>
                <w:tcPr>
                  <w:vMerge w:val="restart"/>
                </w:tcPr>
                <w:p>
                  <w:pPr>
                    <w:pStyle w:val="Compact"/>
                    <w:jc w:val="center"/>
                  </w:pPr>
                  <w:r>
                    <w:t xml:space="preserve">Recommendation</w:t>
                  </w:r>
                </w:p>
              </w:tc>
              <w:tc>
                <w:tcPr/>
                <w:p>
                  <w:pPr>
                    <w:pStyle w:val="Compact"/>
                    <w:jc w:val="center"/>
                  </w:pPr>
                  <w:r>
                    <w:t xml:space="preserve">Observed minute-level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Minutes meeting recommendation, n/N (%)</w:t>
                  </w:r>
                </w:p>
              </w:tc>
              <w:tc>
                <w:tcPr/>
                <w:p>
                  <w:pPr>
                    <w:pStyle w:val="Compact"/>
                    <w:jc w:val="center"/>
                  </w:pPr>
                  <w:r>
                    <w:t xml:space="preserve">Work day, % (95% CI)</w:t>
                  </w:r>
                </w:p>
              </w:tc>
              <w:tc>
                <w:tcPr/>
                <w:p>
                  <w:pPr>
                    <w:pStyle w:val="Compact"/>
                    <w:jc w:val="center"/>
                  </w:pPr>
                  <w:r>
                    <w:t xml:space="preserve">Free day, % (95% CI)</w:t>
                  </w:r>
                </w:p>
              </w:tc>
              <w:tc>
                <w:tcPr/>
                <w:p>
                  <w:pPr>
                    <w:pStyle w:val="Compact"/>
                    <w:jc w:val="center"/>
                  </w:pPr>
                  <w:r>
                    <w:t xml:space="preserve">Free minus Work, percentage points (95% CI)</w:t>
                  </w:r>
                </w:p>
              </w:tc>
              <w:tc>
                <w:tcPr/>
                <w:p>
                  <w:pPr>
                    <w:pStyle w:val="Compact"/>
                    <w:jc w:val="center"/>
                  </w:pPr>
                  <w:r>
                    <w:t xml:space="preserve">FDR-adjusted 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 (24.0%)</w:t>
                  </w:r>
                </w:p>
              </w:tc>
              <w:tc>
                <w:tcPr/>
                <w:p>
                  <w:pPr>
                    <w:pStyle w:val="Compact"/>
                    <w:jc w:val="center"/>
                  </w:pPr>
                  <w:r>
                    <w:t xml:space="preserve">26.5 (24.4 to 28.6)</w:t>
                  </w:r>
                </w:p>
              </w:tc>
              <w:tc>
                <w:tcPr/>
                <w:p>
                  <w:pPr>
                    <w:pStyle w:val="Compact"/>
                    <w:jc w:val="center"/>
                  </w:pPr>
                  <w:r>
                    <w:t xml:space="preserve">21.6 (19.3 to 23.9)</w:t>
                  </w:r>
                </w:p>
              </w:tc>
              <w:tc>
                <w:tcPr/>
                <w:p>
                  <w:pPr>
                    <w:pStyle w:val="Compact"/>
                    <w:jc w:val="center"/>
                  </w:pPr>
                  <w:r>
                    <w:t xml:space="preserve">-4.9 (-7.6 to -2.2)</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 (63.3%)</w:t>
                  </w:r>
                </w:p>
              </w:tc>
              <w:tc>
                <w:tcPr/>
                <w:p>
                  <w:pPr>
                    <w:pStyle w:val="Compact"/>
                    <w:jc w:val="center"/>
                  </w:pPr>
                  <w:r>
                    <w:t xml:space="preserve">61.9 (58.5 to 65.4)</w:t>
                  </w:r>
                </w:p>
              </w:tc>
              <w:tc>
                <w:tcPr/>
                <w:p>
                  <w:pPr>
                    <w:pStyle w:val="Compact"/>
                    <w:jc w:val="center"/>
                  </w:pPr>
                  <w:r>
                    <w:t xml:space="preserve">69.9 (66.3 to 73.5)</w:t>
                  </w:r>
                </w:p>
              </w:tc>
              <w:tc>
                <w:tcPr/>
                <w:p>
                  <w:pPr>
                    <w:pStyle w:val="Compact"/>
                    <w:jc w:val="center"/>
                  </w:pPr>
                  <w:r>
                    <w:t xml:space="preserve">+8.0 (+3.3 to +12.7)</w:t>
                  </w:r>
                </w:p>
              </w:tc>
              <w:tc>
                <w:tcPr/>
                <w:p>
                  <w:pPr>
                    <w:pStyle w:val="Compact"/>
                    <w:jc w:val="center"/>
                  </w:pPr>
                  <w:r>
                    <w:t xml:space="preserve">&lt;0.001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 (87.7%)</w:t>
                  </w:r>
                </w:p>
              </w:tc>
              <w:tc>
                <w:tcPr/>
                <w:p>
                  <w:pPr>
                    <w:pStyle w:val="Compact"/>
                    <w:jc w:val="center"/>
                  </w:pPr>
                  <w:r>
                    <w:t xml:space="preserve">90.3 (88.7 to 91.8)</w:t>
                  </w:r>
                </w:p>
              </w:tc>
              <w:tc>
                <w:tcPr/>
                <w:p>
                  <w:pPr>
                    <w:pStyle w:val="Compact"/>
                    <w:jc w:val="center"/>
                  </w:pPr>
                  <w:r>
                    <w:t xml:space="preserve">84.1 (81.6 to 86.7)</w:t>
                  </w:r>
                </w:p>
              </w:tc>
              <w:tc>
                <w:tcPr/>
                <w:p>
                  <w:pPr>
                    <w:pStyle w:val="Compact"/>
                    <w:jc w:val="center"/>
                  </w:pPr>
                  <w:r>
                    <w:t xml:space="preserve">-6.1 (-8.8 to -3.5)</w:t>
                  </w:r>
                </w:p>
              </w:tc>
              <w:tc>
                <w:tcPr/>
                <w:p>
                  <w:pPr>
                    <w:pStyle w:val="Compact"/>
                    <w:jc w:val="center"/>
                  </w:pPr>
                  <w:r>
                    <w:t xml:space="preserve">&lt;0.001</w:t>
                  </w:r>
                </w:p>
              </w:tc>
            </w:tr>
            <w:tr>
              <w:tc>
                <w:tcPr>
                  <w:gridSpan w:val="7"/>
                </w:tcPr>
                <w:p>
                  <w:pPr>
                    <w:pStyle w:val="Compact"/>
                    <w:jc w:val="center"/>
                  </w:pPr>
                  <w:r>
                    <w:t xml:space="preserve">Observed pooled-minute fractions and site-average model estimates are distinct estimands. Each of the nine sites contributes equally to the model estimates.</w:t>
                  </w:r>
                </w:p>
              </w:tc>
            </w:tr>
          </w:tbl>
          <w:bookmarkEnd w:id="26"/>
          <w:p/>
        </w:tc>
      </w:tr>
    </w:tbl>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31" w:name="fig-daily-architecture"/>
          <w:p>
            <w:pPr>
              <w:pStyle w:val="Compact"/>
              <w:jc w:val="center"/>
            </w:pPr>
            <w:r>
              <w:drawing>
                <wp:inline>
                  <wp:extent cx="5727700" cy="7289799"/>
                  <wp:effectExtent b="0" l="0" r="0" t="0"/>
                  <wp:docPr descr="" title="" id="29" name="Picture"/>
                  <a:graphic>
                    <a:graphicData uri="http://schemas.openxmlformats.org/drawingml/2006/picture">
                      <pic:pic>
                        <pic:nvPicPr>
                          <pic:cNvPr descr="../../artifacts/10_figures/H02/figure4_exact_layout_replication.png" id="30" name="Picture"/>
                          <pic:cNvPicPr>
                            <a:picLocks noChangeArrowheads="1" noChangeAspect="1"/>
                          </pic:cNvPicPr>
                        </pic:nvPicPr>
                        <pic:blipFill>
                          <a:blip r:embed="rId28"/>
                          <a:stretch>
                            <a:fillRect/>
                          </a:stretch>
                        </pic:blipFill>
                        <pic:spPr bwMode="auto">
                          <a:xfrm>
                            <a:off x="0" y="0"/>
                            <a:ext cx="5727700" cy="7289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1"/>
        </w:tc>
      </w:tr>
    </w:tbl>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33"/>
        </w:tc>
      </w:tr>
    </w:tbl>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tbl>
      <w:tblPr>
        <w:tblStyle w:val="Table"/>
        <w:tblW w:type="pct" w:w="5000"/>
        <w:tblLayout w:type="fixed"/>
        <w:tblLook w:firstRow="0" w:lastRow="0" w:firstColumn="0" w:lastColumn="0" w:noHBand="0" w:noVBand="0" w:val="0000"/>
      </w:tblPr>
      <w:tblGrid>
        <w:gridCol w:w="7920"/>
      </w:tblGrid>
      <w:tr>
        <w:tc>
          <w:tcPr/>
          <w:bookmarkStart w:id="38" w:name="fig-activity-context"/>
          <w:p>
            <w:pPr>
              <w:pStyle w:val="Compact"/>
              <w:jc w:val="center"/>
            </w:pPr>
            <w:r>
              <w:drawing>
                <wp:inline>
                  <wp:extent cx="5727700" cy="8561850"/>
                  <wp:effectExtent b="0" l="0" r="0" t="0"/>
                  <wp:docPr descr="" title="" id="36" name="Picture"/>
                  <a:graphic>
                    <a:graphicData uri="http://schemas.openxmlformats.org/drawingml/2006/picture">
                      <pic:pic>
                        <pic:nvPicPr>
                          <pic:cNvPr descr="../../audit/manuscript_nature_health/figure_table_selection_assets/H04_manuscript_figure3_selection_candidate.png" id="37" name="Picture"/>
                          <pic:cNvPicPr>
                            <a:picLocks noChangeArrowheads="1" noChangeAspect="1"/>
                          </pic:cNvPicPr>
                        </pic:nvPicPr>
                        <pic:blipFill>
                          <a:blip r:embed="rId35"/>
                          <a:stretch>
                            <a:fillRect/>
                          </a:stretch>
                        </pic:blipFill>
                        <pic:spPr bwMode="auto">
                          <a:xfrm>
                            <a:off x="0" y="0"/>
                            <a:ext cx="5727700" cy="8561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38"/>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pPr>
      <w:r>
        <w:t xml:space="preserve">Discussion</w:t>
      </w:r>
    </w:p>
    <w:p>
      <w:pPr>
        <w:pStyle w:val="FirstParagraph"/>
      </w:pPr>
      <w:r>
        <w:t xml:space="preserve">The expected 24-hour rhythm was evident across nine sites in seven countries. The key advance was to quantify its amplitude across sites, participants and participant-days, and to show how immediate settings reorganised exposure within that rhythm. Across analyses,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Because these analyses used different outcomes and decompositions, this 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near-eye exposure relative to physiology-based recommendations, shows that variation among people and days within sites matters, and identifies temporal, contextual and positional information for future cohorts. Taken together,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therefore offers a practical route from circadian biology to precision prevention and context-sensitive environmental health.</w:t>
      </w:r>
    </w:p>
    <w:bookmarkEnd w:id="43"/>
    <w:bookmarkStart w:id="58" w:name="methods"/>
    <w:p>
      <w:pPr>
        <w:pStyle w:val="berschrift1"/>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pStyle w:val="berschrift1"/>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pPr>
      <w:r>
        <w:t xml:space="preserve">Supplementary Table S1. Descriptive sample flow</w:t>
      </w:r>
    </w:p>
    <w:bookmarkStart w:id="258"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pStyle w:val="berschrift3"/>
      </w:pPr>
      <w:r>
        <w:t xml:space="preserve">Supplementary Table S2. Full near-eye metric dictionary and distributions</w:t>
      </w:r>
    </w:p>
    <w:bookmarkStart w:id="311" w:name="supp-table-s2"/>
    <w:tbl>
      <w:tblPr>
        <w:tblStyle w:val="Table"/>
        <w:tblW w:type="pct" w:w="5000"/>
        <w:tblLayout w:type="fixed"/>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 (SE)</w:t>
            </w:r>
          </w:p>
        </w:tc>
        <w:tc>
          <w:tcPr/>
          <w:p>
            <w:pPr>
              <w:pStyle w:val="Compact"/>
            </w:pPr>
            <w:r>
              <w:t xml:space="preserve">Delft (NL)</w:t>
            </w:r>
          </w:p>
        </w:tc>
        <w:tc>
          <w:tcPr/>
          <w:p>
            <w:pPr>
              <w:pStyle w:val="Compact"/>
            </w:pPr>
            <w:r>
              <w:t xml:space="preserve">Dortmund (DE)</w:t>
            </w:r>
          </w:p>
        </w:tc>
        <w:tc>
          <w:tcPr/>
          <w:p>
            <w:pPr>
              <w:pStyle w:val="Compact"/>
            </w:pPr>
            <w:r>
              <w:t xml:space="preserve">Tübingen (DE)</w:t>
            </w:r>
          </w:p>
        </w:tc>
        <w:tc>
          <w:tcPr/>
          <w:p>
            <w:pPr>
              <w:pStyle w:val="Compact"/>
            </w:pPr>
            <w:r>
              <w:t xml:space="preserve">Munich (DE)</w:t>
            </w:r>
          </w:p>
        </w:tc>
        <w:tc>
          <w:tcPr/>
          <w:p>
            <w:pPr>
              <w:pStyle w:val="Compact"/>
            </w:pPr>
            <w:r>
              <w:t xml:space="preserve">Madrid (ES)</w:t>
            </w:r>
          </w:p>
        </w:tc>
        <w:tc>
          <w:tcPr/>
          <w:p>
            <w:pPr>
              <w:pStyle w:val="Compact"/>
            </w:pPr>
            <w:r>
              <w:t xml:space="preserve">Izmir (TR)</w:t>
            </w:r>
          </w:p>
        </w:tc>
        <w:tc>
          <w:tcPr/>
          <w:p>
            <w:pPr>
              <w:pStyle w:val="Compact"/>
            </w:pPr>
            <w:r>
              <w:t xml:space="preserve">San José (CR)</w:t>
            </w:r>
          </w:p>
        </w:tc>
        <w:tc>
          <w:tcPr/>
          <w:p>
            <w:pPr>
              <w:pStyle w:val="Compact"/>
            </w:pPr>
            <w:r>
              <w:t xml:space="preserve">Kumasi (GH)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 (base 10; threshold 1)</w:t>
            </w:r>
          </w:p>
        </w:tc>
        <w:tc>
          <w:tcPr/>
          <w:p>
            <w:pPr>
              <w:pStyle w:val="Compact"/>
            </w:pPr>
            <w:r>
              <w:t xml:space="preserve">Time above 1,000 lx melEDI distribution by site. Exact numerical summaries are in the adjacent cells.</w:t>
            </w:r>
            <w:r>
              <w:drawing>
                <wp:inline>
                  <wp:extent cx="5727700" cy="2291080"/>
                  <wp:effectExtent b="0" l="0" r="0" t="0"/>
                  <wp:docPr descr="" title="" id="261"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62" name="Picture"/>
                          <pic:cNvPicPr>
                            <a:picLocks noChangeArrowheads="1" noChangeAspect="1"/>
                          </pic:cNvPicPr>
                        </pic:nvPicPr>
                        <pic:blipFill>
                          <a:blip r:embed="rId26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 (base 10; threshold 1)</w:t>
            </w:r>
          </w:p>
        </w:tc>
        <w:tc>
          <w:tcPr/>
          <w:p>
            <w:pPr>
              <w:pStyle w:val="Compact"/>
            </w:pPr>
            <w:r>
              <w:t xml:space="preserve">Time above 250 lx melEDI during wake distribution by site. Exact numerical summaries are in the adjacent cells.</w:t>
            </w:r>
            <w:r>
              <w:drawing>
                <wp:inline>
                  <wp:extent cx="5727700" cy="2291080"/>
                  <wp:effectExtent b="0" l="0" r="0" t="0"/>
                  <wp:docPr descr="" title="" id="264"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65" name="Picture"/>
                          <pic:cNvPicPr>
                            <a:picLocks noChangeArrowheads="1" noChangeAspect="1"/>
                          </pic:cNvPicPr>
                        </pic:nvPicPr>
                        <pic:blipFill>
                          <a:blip r:embed="rId26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 (base 10; threshold 1)</w:t>
            </w:r>
          </w:p>
        </w:tc>
        <w:tc>
          <w:tcPr/>
          <w:p>
            <w:pPr>
              <w:pStyle w:val="Compact"/>
            </w:pPr>
            <w:r>
              <w:t xml:space="preserve">Time below 10 lx melEDI before sleep distribution by site. Exact numerical summaries are in the adjacent cells.</w:t>
            </w:r>
            <w:r>
              <w:drawing>
                <wp:inline>
                  <wp:extent cx="5727700" cy="2291080"/>
                  <wp:effectExtent b="0" l="0" r="0" t="0"/>
                  <wp:docPr descr="" title="" id="267"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68" name="Picture"/>
                          <pic:cNvPicPr>
                            <a:picLocks noChangeArrowheads="1" noChangeAspect="1"/>
                          </pic:cNvPicPr>
                        </pic:nvPicPr>
                        <pic:blipFill>
                          <a:blip r:embed="rId26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 (base 10; threshold 1)</w:t>
            </w:r>
          </w:p>
        </w:tc>
        <w:tc>
          <w:tcPr/>
          <w:p>
            <w:pPr>
              <w:pStyle w:val="Compact"/>
            </w:pPr>
            <w:r>
              <w:t xml:space="preserve">Time below 1 lx melEDI during sleep distribution by site. Exact numerical summaries are in the adjacent cells.</w:t>
            </w:r>
            <w:r>
              <w:drawing>
                <wp:inline>
                  <wp:extent cx="5727700" cy="2291080"/>
                  <wp:effectExtent b="0" l="0" r="0" t="0"/>
                  <wp:docPr descr="" title="" id="270"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71" name="Picture"/>
                          <pic:cNvPicPr>
                            <a:picLocks noChangeArrowheads="1" noChangeAspect="1"/>
                          </pic:cNvPicPr>
                        </pic:nvPicPr>
                        <pic:blipFill>
                          <a:blip r:embed="rId26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 (base 10; threshold 1)</w:t>
            </w:r>
          </w:p>
        </w:tc>
        <w:tc>
          <w:tcPr/>
          <w:p>
            <w:pPr>
              <w:pStyle w:val="Compact"/>
            </w:pPr>
            <w:r>
              <w:t xml:space="preserve">Longest period above 250 lx melEDI distribution by site. Exact numerical summaries are in the adjacent cells.</w:t>
            </w:r>
            <w:r>
              <w:drawing>
                <wp:inline>
                  <wp:extent cx="5727700" cy="2291080"/>
                  <wp:effectExtent b="0" l="0" r="0" t="0"/>
                  <wp:docPr descr="" title="" id="273"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74" name="Picture"/>
                          <pic:cNvPicPr>
                            <a:picLocks noChangeArrowheads="1" noChangeAspect="1"/>
                          </pic:cNvPicPr>
                        </pic:nvPicPr>
                        <pic:blipFill>
                          <a:blip r:embed="rId272"/>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727700" cy="2291080"/>
                  <wp:effectExtent b="0" l="0" r="0" t="0"/>
                  <wp:docPr descr="" title="" id="276"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77" name="Picture"/>
                          <pic:cNvPicPr>
                            <a:picLocks noChangeArrowheads="1" noChangeAspect="1"/>
                          </pic:cNvPicPr>
                        </pic:nvPicPr>
                        <pic:blipFill>
                          <a:blip r:embed="rId27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727700" cy="2291080"/>
                  <wp:effectExtent b="0" l="0" r="0" t="0"/>
                  <wp:docPr descr="" title="" id="279"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80" name="Picture"/>
                          <pic:cNvPicPr>
                            <a:picLocks noChangeArrowheads="1" noChangeAspect="1"/>
                          </pic:cNvPicPr>
                        </pic:nvPicPr>
                        <pic:blipFill>
                          <a:blip r:embed="rId278"/>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 (base 10; threshold 1)</w:t>
            </w:r>
          </w:p>
        </w:tc>
        <w:tc>
          <w:tcPr/>
          <w:p>
            <w:pPr>
              <w:pStyle w:val="Compact"/>
            </w:pPr>
            <w:r>
              <w:t xml:space="preserve">melEDI dose distribution by site. Exact numerical summaries are in the adjacent cells.</w:t>
            </w:r>
            <w:r>
              <w:drawing>
                <wp:inline>
                  <wp:extent cx="5727700" cy="2291080"/>
                  <wp:effectExtent b="0" l="0" r="0" t="0"/>
                  <wp:docPr descr="" title="" id="282"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83" name="Picture"/>
                          <pic:cNvPicPr>
                            <a:picLocks noChangeArrowheads="1" noChangeAspect="1"/>
                          </pic:cNvPicPr>
                        </pic:nvPicPr>
                        <pic:blipFill>
                          <a:blip r:embed="rId281"/>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 (base 10; threshold 1)</w:t>
            </w:r>
          </w:p>
        </w:tc>
        <w:tc>
          <w:tcPr/>
          <w:p>
            <w:pPr>
              <w:pStyle w:val="Compact"/>
            </w:pPr>
            <w:r>
              <w:t xml:space="preserve">Mean melEDI distribution by site. Exact numerical summaries are in the adjacent cells.</w:t>
            </w:r>
            <w:r>
              <w:drawing>
                <wp:inline>
                  <wp:extent cx="5727700" cy="2291080"/>
                  <wp:effectExtent b="0" l="0" r="0" t="0"/>
                  <wp:docPr descr="" title="" id="285"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86" name="Picture"/>
                          <pic:cNvPicPr>
                            <a:picLocks noChangeArrowheads="1" noChangeAspect="1"/>
                          </pic:cNvPicPr>
                        </pic:nvPicPr>
                        <pic:blipFill>
                          <a:blip r:embed="rId284"/>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 (base 10; threshold 1)</w:t>
            </w:r>
          </w:p>
        </w:tc>
        <w:tc>
          <w:tcPr/>
          <w:p>
            <w:pPr>
              <w:pStyle w:val="Compact"/>
            </w:pPr>
            <w:r>
              <w:t xml:space="preserve">Brightest 10 h mean distribution by site. Exact numerical summaries are in the adjacent cells.</w:t>
            </w:r>
            <w:r>
              <w:drawing>
                <wp:inline>
                  <wp:extent cx="5727700" cy="2291080"/>
                  <wp:effectExtent b="0" l="0" r="0" t="0"/>
                  <wp:docPr descr="" title="" id="288"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89" name="Picture"/>
                          <pic:cNvPicPr>
                            <a:picLocks noChangeArrowheads="1" noChangeAspect="1"/>
                          </pic:cNvPicPr>
                        </pic:nvPicPr>
                        <pic:blipFill>
                          <a:blip r:embed="rId287"/>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 (base 10; threshold 1)</w:t>
            </w:r>
          </w:p>
        </w:tc>
        <w:tc>
          <w:tcPr/>
          <w:p>
            <w:pPr>
              <w:pStyle w:val="Compact"/>
            </w:pPr>
            <w:r>
              <w:t xml:space="preserve">Darkest 10 h mean distribution by site. Exact numerical summaries are in the adjacent cells.</w:t>
            </w:r>
            <w:r>
              <w:drawing>
                <wp:inline>
                  <wp:extent cx="5727700" cy="2291080"/>
                  <wp:effectExtent b="0" l="0" r="0" t="0"/>
                  <wp:docPr descr="" title="" id="291"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92" name="Picture"/>
                          <pic:cNvPicPr>
                            <a:picLocks noChangeArrowheads="1" noChangeAspect="1"/>
                          </pic:cNvPicPr>
                        </pic:nvPicPr>
                        <pic:blipFill>
                          <a:blip r:embed="rId290"/>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727700" cy="2291080"/>
                  <wp:effectExtent b="0" l="0" r="0" t="0"/>
                  <wp:docPr descr="" title="" id="294"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95" name="Picture"/>
                          <pic:cNvPicPr>
                            <a:picLocks noChangeArrowheads="1" noChangeAspect="1"/>
                          </pic:cNvPicPr>
                        </pic:nvPicPr>
                        <pic:blipFill>
                          <a:blip r:embed="rId293"/>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727700" cy="2291080"/>
                  <wp:effectExtent b="0" l="0" r="0" t="0"/>
                  <wp:docPr descr="" title="" id="297"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98" name="Picture"/>
                          <pic:cNvPicPr>
                            <a:picLocks noChangeArrowheads="1" noChangeAspect="1"/>
                          </pic:cNvPicPr>
                        </pic:nvPicPr>
                        <pic:blipFill>
                          <a:blip r:embed="rId29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727700" cy="2291080"/>
                  <wp:effectExtent b="0" l="0" r="0" t="0"/>
                  <wp:docPr descr="" title="" id="300"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301" name="Picture"/>
                          <pic:cNvPicPr>
                            <a:picLocks noChangeArrowheads="1" noChangeAspect="1"/>
                          </pic:cNvPicPr>
                        </pic:nvPicPr>
                        <pic:blipFill>
                          <a:blip r:embed="rId29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727700" cy="2291080"/>
                  <wp:effectExtent b="0" l="0" r="0" t="0"/>
                  <wp:docPr descr="" title="" id="303"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304" name="Picture"/>
                          <pic:cNvPicPr>
                            <a:picLocks noChangeArrowheads="1" noChangeAspect="1"/>
                          </pic:cNvPicPr>
                        </pic:nvPicPr>
                        <pic:blipFill>
                          <a:blip r:embed="rId302"/>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727700" cy="2291080"/>
                  <wp:effectExtent b="0" l="0" r="0" t="0"/>
                  <wp:docPr descr="" title="" id="306"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307" name="Picture"/>
                          <pic:cNvPicPr>
                            <a:picLocks noChangeArrowheads="1" noChangeAspect="1"/>
                          </pic:cNvPicPr>
                        </pic:nvPicPr>
                        <pic:blipFill>
                          <a:blip r:embed="rId30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727700" cy="2291080"/>
                  <wp:effectExtent b="0" l="0" r="0" t="0"/>
                  <wp:docPr descr="" title="" id="309"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310" name="Picture"/>
                          <pic:cNvPicPr>
                            <a:picLocks noChangeArrowheads="1" noChangeAspect="1"/>
                          </pic:cNvPicPr>
                        </pic:nvPicPr>
                        <pic:blipFill>
                          <a:blip r:embed="rId308"/>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pStyle w:val="berschrift3"/>
      </w:pPr>
      <w:r>
        <w:t xml:space="preserve">Supplementary Table S3. Descriptive recommendation-range fractions</w:t>
      </w:r>
    </w:p>
    <w:bookmarkStart w:id="313"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313"/>
    <w:bookmarkEnd w:id="314"/>
    <w:bookmarkStart w:id="315" w:name="X6caab64abadceda6491a0f778c67f7f9feb455d"/>
    <w:p>
      <w:pPr>
        <w:pStyle w:val="berschrift3"/>
      </w:pPr>
      <w:r>
        <w:t xml:space="preserve">Supplementary Figure S1. Near-eye metric distributions</w:t>
      </w:r>
    </w:p>
    <w:p>
      <w:pPr>
        <w:pStyle w:val="FirstParagraph"/>
      </w:pPr>
    </w:p>
    <w:p>
      <w:pPr>
        <w:pStyle w:val="Textkrper"/>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pPr>
      <w:r>
        <w:t xml:space="preserve">Supplementary Figure S2. Worked metric derivation</w:t>
      </w:r>
    </w:p>
    <w:p>
      <w:pPr>
        <w:pStyle w:val="FirstParagraph"/>
      </w:pPr>
    </w:p>
    <w:p>
      <w:pPr>
        <w:pStyle w:val="Textkrper"/>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pPr>
      <w:r>
        <w:t xml:space="preserve">Supplementary Figure S3. Latitude and civil-photoperiod measurement range</w:t>
      </w:r>
    </w:p>
    <w:p>
      <w:pPr>
        <w:pStyle w:val="FirstParagraph"/>
      </w:pPr>
    </w:p>
    <w:p>
      <w:pPr>
        <w:pStyle w:val="Textkrper"/>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pPr>
      <w:r>
        <w:t xml:space="preserve">Recommendation adherence</w:t>
      </w:r>
    </w:p>
    <w:p>
      <w:pPr>
        <w:pStyle w:val="FirstParagraph"/>
      </w:pPr>
      <w:r>
        <w:t xml:space="preserve">Daytime, Pre-sleep, and Sleep identify the Brown et al. recommendation windows.</w:t>
      </w:r>
    </w:p>
    <w:bookmarkStart w:id="319" w:name="X967f0b046f9234accdf6c51e75776693d681f60"/>
    <w:p>
      <w:pPr>
        <w:pStyle w:val="berschrift3"/>
      </w:pPr>
      <w:r>
        <w:t xml:space="preserve">Supplementary Figure S4. Site-average recommendation adherence</w:t>
      </w:r>
    </w:p>
    <w:p>
      <w:pPr>
        <w:pStyle w:val="FirstParagraph"/>
      </w:pPr>
    </w:p>
    <w:p>
      <w:pPr>
        <w:pStyle w:val="Textkrper"/>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9"/>
    <w:bookmarkStart w:id="320" w:name="X3fae3d4988a611e264c90335700ea93785d6b8e"/>
    <w:p>
      <w:pPr>
        <w:pStyle w:val="berschrift3"/>
      </w:pPr>
      <w:r>
        <w:t xml:space="preserve">Supplementary Figure S5. Site-specific adherence and day-type differences</w:t>
      </w:r>
    </w:p>
    <w:p>
      <w:pPr>
        <w:pStyle w:val="FirstParagraph"/>
      </w:pPr>
    </w:p>
    <w:p>
      <w:pPr>
        <w:pStyle w:val="Textkrper"/>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20"/>
    <w:bookmarkStart w:id="322" w:name="X8b25b3f835837e027bc091098603a04afb13419"/>
    <w:p>
      <w:pPr>
        <w:pStyle w:val="berschrift3"/>
      </w:pPr>
      <w:r>
        <w:t xml:space="preserve">Supplementary Table S4. Exploratory cross-window recommendation-adherence associations</w:t>
      </w:r>
    </w:p>
    <w:bookmarkStart w:id="321"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21"/>
    <w:bookmarkEnd w:id="322"/>
    <w:bookmarkStart w:id="323" w:name="X8e24d81121eac320a672be4609027c8efce53a5"/>
    <w:p>
      <w:pPr>
        <w:pStyle w:val="berschrift3"/>
      </w:pPr>
      <w:r>
        <w:t xml:space="preserve">Supplementary Figure S6. Anonymous participant recommendation-adherence profiles</w:t>
      </w:r>
    </w:p>
    <w:p>
      <w:pPr>
        <w:pStyle w:val="FirstParagraph"/>
      </w:pPr>
    </w:p>
    <w:p>
      <w:pPr>
        <w:pStyle w:val="Textkrper"/>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pStyle w:val="berschrift2"/>
      </w:pPr>
      <w:r>
        <w:t xml:space="preserve">Daily architecture</w:t>
      </w:r>
    </w:p>
    <w:bookmarkStart w:id="326" w:name="Xd7f47729247d020ca94ac99ff99a06df13a4437"/>
    <w:p>
      <w:pPr>
        <w:pStyle w:val="berschrift3"/>
      </w:pPr>
      <w:r>
        <w:t xml:space="preserve">Supplementary Table S5. Near-eye fitted-curve dispersion and full-model R² allocation</w:t>
      </w:r>
    </w:p>
    <w:bookmarkStart w:id="325"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pPr>
      <w:r>
        <w:t xml:space="preserve">Supplementary Table S6. Chest fitted-curve dispersion and full-model R² allocation</w:t>
      </w:r>
    </w:p>
    <w:bookmarkStart w:id="327"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pPr>
      <w:r>
        <w:t xml:space="preserve">Supplementary Figure S7. Geographic support and nonlinear photoperiod classifications</w:t>
      </w:r>
    </w:p>
    <w:p>
      <w:pPr>
        <w:pStyle w:val="FirstParagraph"/>
      </w:pPr>
    </w:p>
    <w:p>
      <w:pPr>
        <w:pStyle w:val="Textkrper"/>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30"/>
    <w:bookmarkStart w:id="332" w:name="Xc9b2b279896c8555d8f498ae82e664667f05102"/>
    <w:p>
      <w:pPr>
        <w:pStyle w:val="berschrift3"/>
      </w:pPr>
      <w:r>
        <w:t xml:space="preserve">Supplementary Table S7. Geographic and photoperiod associations</w:t>
      </w:r>
    </w:p>
    <w:bookmarkStart w:id="331" w:name="supp-table-s7"/>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pPr>
      <w:r>
        <w:t xml:space="preserve">Supplementary Table S8. Nonlinear civil-photoperiod classifications</w:t>
      </w:r>
    </w:p>
    <w:bookmarkStart w:id="333"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pPr>
      <w:r>
        <w:t xml:space="preserve">Supplementary Figure S8. Light-source category and local-clock pattern of near-eye melanopic EDI</w:t>
      </w:r>
    </w:p>
    <w:p>
      <w:pPr>
        <w:pStyle w:val="FirstParagraph"/>
      </w:pPr>
    </w:p>
    <w:p>
      <w:pPr>
        <w:pStyle w:val="Textkrper"/>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pPr>
      <w:r>
        <w:t xml:space="preserve">Supplementary Figure S9. Paired sensor-position hourly associations</w:t>
      </w:r>
    </w:p>
    <w:p>
      <w:pPr>
        <w:pStyle w:val="FirstParagraph"/>
      </w:pPr>
    </w:p>
    <w:p>
      <w:pPr>
        <w:pStyle w:val="Textkrper"/>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pPr>
      <w:r>
        <w:t xml:space="preserve">Supplementary Figure S10. Free-versus-Work hourly timing</w:t>
      </w:r>
    </w:p>
    <w:p>
      <w:pPr>
        <w:pStyle w:val="FirstParagraph"/>
      </w:pPr>
    </w:p>
    <w:p>
      <w:pPr>
        <w:pStyle w:val="Textkrper"/>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pPr>
      <w:r>
        <w:t xml:space="preserve">Supplementary Figure S11. Active-versus-Sedentary hourly timing</w:t>
      </w:r>
    </w:p>
    <w:p>
      <w:pPr>
        <w:pStyle w:val="FirstParagraph"/>
      </w:pPr>
    </w:p>
    <w:p>
      <w:pPr>
        <w:pStyle w:val="Textkrper"/>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pPr>
      <w:r>
        <w:t xml:space="preserve">Supplementary Figure S12. Site-specific hourly routine associations</w:t>
      </w:r>
    </w:p>
    <w:p>
      <w:pPr>
        <w:pStyle w:val="FirstParagraph"/>
      </w:pPr>
    </w:p>
    <w:p>
      <w:pPr>
        <w:pStyle w:val="Textkrper"/>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pStyle w:val="berschrift3"/>
      </w:pPr>
      <w:r>
        <w:t xml:space="preserve">Supplementary Table S9. Participant-hour routine associations</w:t>
      </w:r>
    </w:p>
    <w:bookmarkStart w:id="342"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pPr>
      <w:r>
        <w:t xml:space="preserve">Supplementary Table S10. Person-level evidence synthesis</w:t>
      </w:r>
    </w:p>
    <w:bookmarkStart w:id="345"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45"/>
    <w:bookmarkEnd w:id="346"/>
    <w:bookmarkStart w:id="348" w:name="Xaea52e9e2c94a170bbebcdd4a9d760b037259e2"/>
    <w:p>
      <w:pPr>
        <w:pStyle w:val="berschrift3"/>
      </w:pPr>
      <w:r>
        <w:t xml:space="preserve">Supplementary Figure S13 and Table S11. Light-exposure behaviour and awareness</w:t>
      </w:r>
    </w:p>
    <w:p>
      <w:pPr>
        <w:pStyle w:val="FirstParagraph"/>
      </w:pPr>
    </w:p>
    <w:p>
      <w:pPr>
        <w:pStyle w:val="Textkrper"/>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47"/>
    <w:bookmarkEnd w:id="348"/>
    <w:bookmarkStart w:id="350" w:name="X3f12d67038e761d70da42953438cba411f60624"/>
    <w:p>
      <w:pPr>
        <w:pStyle w:val="berschrift3"/>
      </w:pPr>
      <w:r>
        <w:t xml:space="preserve">Supplementary Figure S14 and Table S12. Visual light sensitivity</w:t>
      </w:r>
    </w:p>
    <w:p>
      <w:pPr>
        <w:pStyle w:val="FirstParagraph"/>
      </w:pPr>
    </w:p>
    <w:p>
      <w:pPr>
        <w:pStyle w:val="Textkrper"/>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49"/>
    <w:bookmarkEnd w:id="350"/>
    <w:bookmarkStart w:id="352" w:name="X496d48116284f3ea70da3e8d2ba7fac5536aea2"/>
    <w:p>
      <w:pPr>
        <w:pStyle w:val="berschrift3"/>
      </w:pPr>
      <w:r>
        <w:t xml:space="preserve">Supplementary Figure S15 and Table S13. Chronotype and timing</w:t>
      </w:r>
    </w:p>
    <w:p>
      <w:pPr>
        <w:pStyle w:val="FirstParagraph"/>
      </w:pPr>
    </w:p>
    <w:p>
      <w:pPr>
        <w:pStyle w:val="Textkrper"/>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51"/>
    <w:bookmarkEnd w:id="352"/>
    <w:bookmarkStart w:id="354" w:name="X5ea8c111c320bfc9b2f54f225e8746c79488ceb"/>
    <w:p>
      <w:pPr>
        <w:pStyle w:val="berschrift3"/>
      </w:pPr>
      <w:r>
        <w:t xml:space="preserve">Supplementary Figure S16 and Table S14. Age and biological sex</w:t>
      </w:r>
    </w:p>
    <w:p>
      <w:pPr>
        <w:pStyle w:val="FirstParagraph"/>
      </w:pPr>
    </w:p>
    <w:p>
      <w:pPr>
        <w:pStyle w:val="Textkrper"/>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53"/>
    <w:bookmarkEnd w:id="354"/>
    <w:bookmarkStart w:id="356" w:name="Xa4f2b398fe1c6416793e91b0062529de2ba001a"/>
    <w:p>
      <w:pPr>
        <w:pStyle w:val="berschrift3"/>
      </w:pPr>
      <w:r>
        <w:t xml:space="preserve">Supplementary Figure S17 and Table S15. Biological-sex-specific daily curves</w:t>
      </w:r>
    </w:p>
    <w:p>
      <w:pPr>
        <w:pStyle w:val="FirstParagraph"/>
      </w:pPr>
    </w:p>
    <w:p>
      <w:pPr>
        <w:pStyle w:val="Textkrper"/>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image" Id="rId35" Target="media/rId35.png" /><Relationship Type="http://schemas.openxmlformats.org/officeDocument/2006/relationships/image" Id="rId263" Target="media/rId263.png" /><Relationship Type="http://schemas.openxmlformats.org/officeDocument/2006/relationships/image" Id="rId308" Target="media/rId308.png" /><Relationship Type="http://schemas.openxmlformats.org/officeDocument/2006/relationships/image" Id="rId296" Target="media/rId296.png" /><Relationship Type="http://schemas.openxmlformats.org/officeDocument/2006/relationships/image" Id="rId275" Target="media/rId275.png" /><Relationship Type="http://schemas.openxmlformats.org/officeDocument/2006/relationships/image" Id="rId266" Target="media/rId266.png" /><Relationship Type="http://schemas.openxmlformats.org/officeDocument/2006/relationships/image" Id="rId287" Target="media/rId287.png" /><Relationship Type="http://schemas.openxmlformats.org/officeDocument/2006/relationships/image" Id="rId281" Target="media/rId281.png" /><Relationship Type="http://schemas.openxmlformats.org/officeDocument/2006/relationships/image" Id="rId305" Target="media/rId305.png" /><Relationship Type="http://schemas.openxmlformats.org/officeDocument/2006/relationships/image" Id="rId284" Target="media/rId284.png" /><Relationship Type="http://schemas.openxmlformats.org/officeDocument/2006/relationships/image" Id="rId260" Target="media/rId260.png" /><Relationship Type="http://schemas.openxmlformats.org/officeDocument/2006/relationships/image" Id="rId293" Target="media/rId293.png" /><Relationship Type="http://schemas.openxmlformats.org/officeDocument/2006/relationships/image" Id="rId278" Target="media/rId278.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290" Target="media/rId290.png" /><Relationship Type="http://schemas.openxmlformats.org/officeDocument/2006/relationships/hyperlink" Id="rId228" Target="https://aspredicted.org/te3zw2.pdf" TargetMode="External" /><Relationship Type="http://schemas.openxmlformats.org/officeDocument/2006/relationships/hyperlink" Id="rId92" Target="https://doi.org/10.1001/jamanetworkopen.2025.39031" TargetMode="External" /><Relationship Type="http://schemas.openxmlformats.org/officeDocument/2006/relationships/hyperlink" Id="rId104" Target="https://doi.org/10.1007/s10654-018-0398-4" TargetMode="External" /><Relationship Type="http://schemas.openxmlformats.org/officeDocument/2006/relationships/hyperlink" Id="rId212" Target="https://doi.org/10.1007/s11222-005-4070-y" TargetMode="External" /><Relationship Type="http://schemas.openxmlformats.org/officeDocument/2006/relationships/hyperlink" Id="rId72" Target="https://doi.org/10.1007/s11818-019-00215-x" TargetMode="External" /><Relationship Type="http://schemas.openxmlformats.org/officeDocument/2006/relationships/hyperlink" Id="rId82" Target="https://doi.org/10.1007/s11920-026-01671-7" TargetMode="External" /><Relationship Type="http://schemas.openxmlformats.org/officeDocument/2006/relationships/hyperlink" Id="rId110" Target="https://doi.org/10.1016/0031-9384(86)90427-0" TargetMode="External" /><Relationship Type="http://schemas.openxmlformats.org/officeDocument/2006/relationships/hyperlink" Id="rId118" Target="https://doi.org/10.1016/j.buildenv.2025.112771" TargetMode="External" /><Relationship Type="http://schemas.openxmlformats.org/officeDocument/2006/relationships/hyperlink" Id="rId168" Target="https://doi.org/10.1016/j.clinph.2006.03.011" TargetMode="External" /><Relationship Type="http://schemas.openxmlformats.org/officeDocument/2006/relationships/hyperlink" Id="rId170" Target="https://doi.org/10.1016/j.jad.2016.06.065" TargetMode="External" /><Relationship Type="http://schemas.openxmlformats.org/officeDocument/2006/relationships/hyperlink" Id="rId172" Target="https://doi.org/10.1016/j.jadr.2020.100020" TargetMode="External" /><Relationship Type="http://schemas.openxmlformats.org/officeDocument/2006/relationships/hyperlink" Id="rId90" Target="https://doi.org/10.1016/j.lanepe.2024.100943" TargetMode="External" /><Relationship Type="http://schemas.openxmlformats.org/officeDocument/2006/relationships/hyperlink" Id="rId132" Target="https://doi.org/10.1016/j.measurement.2024.114909" TargetMode="External" /><Relationship Type="http://schemas.openxmlformats.org/officeDocument/2006/relationships/hyperlink" Id="rId108" Target="https://doi.org/10.1016/j.scitotenv.2025.178839" TargetMode="External" /><Relationship Type="http://schemas.openxmlformats.org/officeDocument/2006/relationships/hyperlink" Id="rId206" Target="https://doi.org/10.1037/1082-989X.8.2.129" TargetMode="External" /><Relationship Type="http://schemas.openxmlformats.org/officeDocument/2006/relationships/hyperlink" Id="rId114" Target="https://doi.org/10.1038/s41370-025-00825-8" TargetMode="External" /><Relationship Type="http://schemas.openxmlformats.org/officeDocument/2006/relationships/hyperlink" Id="rId140" Target="https://doi.org/10.1038/s41598-023-43102-0" TargetMode="External" /><Relationship Type="http://schemas.openxmlformats.org/officeDocument/2006/relationships/hyperlink" Id="rId188" Target="https://doi.org/10.1038/s41598-023-48241-y" TargetMode="External" /><Relationship Type="http://schemas.openxmlformats.org/officeDocument/2006/relationships/hyperlink" Id="rId88" Target="https://doi.org/10.1038/s44220-023-00135-8" TargetMode="External" /><Relationship Type="http://schemas.openxmlformats.org/officeDocument/2006/relationships/hyperlink" Id="rId136" Target="https://doi.org/10.1038/s44271-024-00159-5" TargetMode="External" /><Relationship Type="http://schemas.openxmlformats.org/officeDocument/2006/relationships/hyperlink" Id="rId150" Target="https://doi.org/10.1038/s44323-025-00067-9" TargetMode="External" /><Relationship Type="http://schemas.openxmlformats.org/officeDocument/2006/relationships/hyperlink" Id="rId126" Target="https://doi.org/10.1038/s44323-026-00073-5" TargetMode="External" /><Relationship Type="http://schemas.openxmlformats.org/officeDocument/2006/relationships/hyperlink" Id="rId124" Target="https://doi.org/10.1038/s44323-026-00079-z" TargetMode="External" /><Relationship Type="http://schemas.openxmlformats.org/officeDocument/2006/relationships/hyperlink" Id="rId84" Target="https://doi.org/10.1073/pnas.2301608120" TargetMode="External" /><Relationship Type="http://schemas.openxmlformats.org/officeDocument/2006/relationships/hyperlink" Id="rId94" Target="https://doi.org/10.1073/pnas.2405924121" TargetMode="External" /><Relationship Type="http://schemas.openxmlformats.org/officeDocument/2006/relationships/hyperlink" Id="rId142" Target="https://doi.org/10.1080/07420528.2024.2381590" TargetMode="External" /><Relationship Type="http://schemas.openxmlformats.org/officeDocument/2006/relationships/hyperlink" Id="rId112" Target="https://doi.org/10.1093/annweh/wxab092" TargetMode="External" /><Relationship Type="http://schemas.openxmlformats.org/officeDocument/2006/relationships/hyperlink" Id="rId174" Target="https://doi.org/10.1093/jamiaopen/ooac047" TargetMode="External" /><Relationship Type="http://schemas.openxmlformats.org/officeDocument/2006/relationships/hyperlink" Id="rId100" Target="https://doi.org/10.1093/sleep/zsac130" TargetMode="External" /><Relationship Type="http://schemas.openxmlformats.org/officeDocument/2006/relationships/hyperlink" Id="rId152" Target="https://doi.org/10.1093/sleep/zsaf358" TargetMode="External" /><Relationship Type="http://schemas.openxmlformats.org/officeDocument/2006/relationships/hyperlink" Id="rId70" Target="https://doi.org/10.1101/sqb.2007.72.043" TargetMode="External" /><Relationship Type="http://schemas.openxmlformats.org/officeDocument/2006/relationships/hyperlink" Id="rId66" Target="https://doi.org/10.1101/sqb.2007.72.064" TargetMode="External" /><Relationship Type="http://schemas.openxmlformats.org/officeDocument/2006/relationships/hyperlink" Id="rId202" Target="https://doi.org/10.1111/j.1467-9868.2010.00749.x" TargetMode="External" /><Relationship Type="http://schemas.openxmlformats.org/officeDocument/2006/relationships/hyperlink" Id="rId210" Target="https://doi.org/10.1111/j.2517-6161.1987.tb01685.x" TargetMode="External" /><Relationship Type="http://schemas.openxmlformats.org/officeDocument/2006/relationships/hyperlink" Id="rId224" Target="https://doi.org/10.1111/j.2517-6161.1995.tb02031.x" TargetMode="External" /><Relationship Type="http://schemas.openxmlformats.org/officeDocument/2006/relationships/hyperlink" Id="rId78" Target="https://doi.org/10.1111/jpi.12655" TargetMode="External" /><Relationship Type="http://schemas.openxmlformats.org/officeDocument/2006/relationships/hyperlink" Id="rId102" Target="https://doi.org/10.1111/jpi.70023" TargetMode="External" /><Relationship Type="http://schemas.openxmlformats.org/officeDocument/2006/relationships/hyperlink" Id="rId144" Target="https://doi.org/10.1111/jsr.14315" TargetMode="External" /><Relationship Type="http://schemas.openxmlformats.org/officeDocument/2006/relationships/hyperlink" Id="rId106" Target="https://doi.org/10.1126/science.aay3164" TargetMode="External" /><Relationship Type="http://schemas.openxmlformats.org/officeDocument/2006/relationships/hyperlink" Id="rId178" Target="https://doi.org/10.1158/1055-9965.epi-11-0204" TargetMode="External" /><Relationship Type="http://schemas.openxmlformats.org/officeDocument/2006/relationships/hyperlink" Id="rId128" Target="https://doi.org/10.1167/tvst.13.10.28" TargetMode="External" /><Relationship Type="http://schemas.openxmlformats.org/officeDocument/2006/relationships/hyperlink" Id="rId184" Target="https://doi.org/10.1167/tvst.6.4.18" TargetMode="External" /><Relationship Type="http://schemas.openxmlformats.org/officeDocument/2006/relationships/hyperlink" Id="rId96" Target="https://doi.org/10.1177/0004867420968886" TargetMode="External" /><Relationship Type="http://schemas.openxmlformats.org/officeDocument/2006/relationships/hyperlink" Id="rId180" Target="https://doi.org/10.1177/0748730415597520" TargetMode="External" /><Relationship Type="http://schemas.openxmlformats.org/officeDocument/2006/relationships/hyperlink" Id="rId196" Target="https://doi.org/10.1177/07487304251336624" TargetMode="External" /><Relationship Type="http://schemas.openxmlformats.org/officeDocument/2006/relationships/hyperlink" Id="rId200" Target="https://doi.org/10.1177/096228029500400302" TargetMode="External" /><Relationship Type="http://schemas.openxmlformats.org/officeDocument/2006/relationships/hyperlink" Id="rId120" Target="https://doi.org/10.1177/14771535221103258" TargetMode="External" /><Relationship Type="http://schemas.openxmlformats.org/officeDocument/2006/relationships/hyperlink" Id="rId194" Target="https://doi.org/10.1177/14771535231170500" TargetMode="External" /><Relationship Type="http://schemas.openxmlformats.org/officeDocument/2006/relationships/hyperlink" Id="rId134" Target="https://doi.org/10.1186/s12889-024-20206-4" TargetMode="External" /><Relationship Type="http://schemas.openxmlformats.org/officeDocument/2006/relationships/hyperlink" Id="rId74" Target="https://doi.org/10.1186/s12916-025-04608-8" TargetMode="External" /><Relationship Type="http://schemas.openxmlformats.org/officeDocument/2006/relationships/hyperlink" Id="rId208" Target="https://doi.org/10.1198/000313007X188252" TargetMode="External" /><Relationship Type="http://schemas.openxmlformats.org/officeDocument/2006/relationships/hyperlink" Id="rId98" Target="https://doi.org/10.1210/jc.2015-4123" TargetMode="External" /><Relationship Type="http://schemas.openxmlformats.org/officeDocument/2006/relationships/hyperlink" Id="rId198" Target="https://doi.org/10.1214/ss/1177013604" TargetMode="External" /><Relationship Type="http://schemas.openxmlformats.org/officeDocument/2006/relationships/hyperlink" Id="rId148" Target="https://doi.org/10.12688/openreseurope.20985.1" TargetMode="External" /><Relationship Type="http://schemas.openxmlformats.org/officeDocument/2006/relationships/hyperlink" Id="rId156" Target="https://doi.org/10.12688/openreseurope.21304.1" TargetMode="External" /><Relationship Type="http://schemas.openxmlformats.org/officeDocument/2006/relationships/hyperlink" Id="rId158" Target="https://doi.org/10.12688/openreseurope.24060.1" TargetMode="External" /><Relationship Type="http://schemas.openxmlformats.org/officeDocument/2006/relationships/hyperlink" Id="rId116" Target="https://doi.org/10.1289/EHP3431" TargetMode="External" /><Relationship Type="http://schemas.openxmlformats.org/officeDocument/2006/relationships/hyperlink" Id="rId68" Target="https://doi.org/10.1371/journal.pbio.1000145" TargetMode="External" /><Relationship Type="http://schemas.openxmlformats.org/officeDocument/2006/relationships/hyperlink" Id="rId80" Target="https://doi.org/10.1371/journal.pbio.3001571" TargetMode="External" /><Relationship Type="http://schemas.openxmlformats.org/officeDocument/2006/relationships/hyperlink" Id="rId162" Target="https://doi.org/10.1371/journal.pone.0308768" TargetMode="External" /><Relationship Type="http://schemas.openxmlformats.org/officeDocument/2006/relationships/hyperlink" Id="rId214" Target="https://doi.org/10.18637/jss.v067.i01" TargetMode="External" /><Relationship Type="http://schemas.openxmlformats.org/officeDocument/2006/relationships/hyperlink" Id="rId226" Target="https://doi.org/10.21105/joss.01686" TargetMode="External" /><Relationship Type="http://schemas.openxmlformats.org/officeDocument/2006/relationships/hyperlink" Id="rId218" Target="https://doi.org/10.21105/joss.03139" TargetMode="External" /><Relationship Type="http://schemas.openxmlformats.org/officeDocument/2006/relationships/hyperlink" Id="rId222" Target="https://doi.org/10.21105/joss.06962" TargetMode="External" /><Relationship Type="http://schemas.openxmlformats.org/officeDocument/2006/relationships/hyperlink" Id="rId192" Target="https://doi.org/10.21105/joss.07601" TargetMode="External" /><Relationship Type="http://schemas.openxmlformats.org/officeDocument/2006/relationships/hyperlink" Id="rId76" Target="https://doi.org/10.25039/S026.2018" TargetMode="External" /><Relationship Type="http://schemas.openxmlformats.org/officeDocument/2006/relationships/hyperlink" Id="rId122" Target="https://doi.org/10.25039/x051.2025/62xbgg" TargetMode="External" /><Relationship Type="http://schemas.openxmlformats.org/officeDocument/2006/relationships/hyperlink" Id="rId220" Target="https://doi.org/10.32614/CRAN.package.emmeans" TargetMode="External" /><Relationship Type="http://schemas.openxmlformats.org/officeDocument/2006/relationships/hyperlink" Id="rId216" Target="https://doi.org/10.32614/RJ-2017-066" TargetMode="External" /><Relationship Type="http://schemas.openxmlformats.org/officeDocument/2006/relationships/hyperlink" Id="rId160" Target="https://doi.org/10.3389/fpsyt.2023.1199989" TargetMode="External" /><Relationship Type="http://schemas.openxmlformats.org/officeDocument/2006/relationships/hyperlink" Id="rId86" Target="https://doi.org/10.3389/frsle.2023.1268379" TargetMode="External" /><Relationship Type="http://schemas.openxmlformats.org/officeDocument/2006/relationships/hyperlink" Id="rId138" Target="https://doi.org/10.3390/biology8030054" TargetMode="External" /><Relationship Type="http://schemas.openxmlformats.org/officeDocument/2006/relationships/hyperlink" Id="rId146" Target="https://doi.org/10.3390/clockssleep6040042" TargetMode="External" /><Relationship Type="http://schemas.openxmlformats.org/officeDocument/2006/relationships/hyperlink" Id="rId186" Target="https://doi.org/10.3390/ijerph192013599" TargetMode="External" /><Relationship Type="http://schemas.openxmlformats.org/officeDocument/2006/relationships/hyperlink" Id="rId164" Target="https://doi.org/10.3758/s13428-025-02823-y" TargetMode="External" /><Relationship Type="http://schemas.openxmlformats.org/officeDocument/2006/relationships/hyperlink" Id="rId154" Target="https://doi.org/10.48550/arXiv.2606.20719" TargetMode="External" /><Relationship Type="http://schemas.openxmlformats.org/officeDocument/2006/relationships/hyperlink" Id="rId176" Target="https://doi.org/10.5195/jmla.2018.319" TargetMode="External" /><Relationship Type="http://schemas.openxmlformats.org/officeDocument/2006/relationships/hyperlink" Id="rId230" Target="https://doi.org/10.5281/ZENODO.15576731" TargetMode="External" /><Relationship Type="http://schemas.openxmlformats.org/officeDocument/2006/relationships/hyperlink" Id="rId236" Target="https://doi.org/10.5281/ZENODO.16568109" TargetMode="External" /><Relationship Type="http://schemas.openxmlformats.org/officeDocument/2006/relationships/hyperlink" Id="rId232" Target="https://doi.org/10.5281/ZENODO.16834951" TargetMode="External" /><Relationship Type="http://schemas.openxmlformats.org/officeDocument/2006/relationships/hyperlink" Id="rId242" Target="https://doi.org/10.5281/ZENODO.16893901" TargetMode="External" /><Relationship Type="http://schemas.openxmlformats.org/officeDocument/2006/relationships/hyperlink" Id="rId238" Target="https://doi.org/10.5281/ZENODO.16895188" TargetMode="External" /><Relationship Type="http://schemas.openxmlformats.org/officeDocument/2006/relationships/hyperlink" Id="rId240" Target="https://doi.org/10.5281/ZENODO.17289456" TargetMode="External" /><Relationship Type="http://schemas.openxmlformats.org/officeDocument/2006/relationships/hyperlink" Id="rId246" Target="https://doi.org/10.5281/ZENODO.17979893" TargetMode="External" /><Relationship Type="http://schemas.openxmlformats.org/officeDocument/2006/relationships/hyperlink" Id="rId234" Target="https://doi.org/10.5281/ZENODO.18111232" TargetMode="External" /><Relationship Type="http://schemas.openxmlformats.org/officeDocument/2006/relationships/hyperlink" Id="rId244" Target="https://doi.org/10.5281/ZENODO.18925834" TargetMode="External" /><Relationship Type="http://schemas.openxmlformats.org/officeDocument/2006/relationships/hyperlink" Id="rId248" Target="https://doi.org/10.5281/ZENODO.19678543" TargetMode="External" /><Relationship Type="http://schemas.openxmlformats.org/officeDocument/2006/relationships/hyperlink" Id="rId64" Target="https://doi.org/10.5281/zenodo.20547314" TargetMode="External" /><Relationship Type="http://schemas.openxmlformats.org/officeDocument/2006/relationships/hyperlink" Id="rId166" Target="https://doi.org/10.5665/sleep.1642" TargetMode="External" /><Relationship Type="http://schemas.openxmlformats.org/officeDocument/2006/relationships/hyperlink" Id="rId130" Target="https://doi.org/10.64898/2026.07.28.741277" TargetMode="External" /><Relationship Type="http://schemas.openxmlformats.org/officeDocument/2006/relationships/hyperlink" Id="rId204" Target="https://doi.org/10.7717/peerj.6876" TargetMode="External" /><Relationship Type="http://schemas.openxmlformats.org/officeDocument/2006/relationships/hyperlink" Id="rId59" Target="https://github.com/MeLiDosProject" TargetMode="External" /><Relationship Type="http://schemas.openxmlformats.org/officeDocument/2006/relationships/hyperlink" Id="rId62" Target="https://github.com/tscnlab/ZaunerEtAl_bioRxiv_2026" TargetMode="External" /><Relationship Type="http://schemas.openxmlformats.org/officeDocument/2006/relationships/hyperlink" Id="rId250" Target="https://melidosproject.github.io/melidosData/" TargetMode="External" /><Relationship Type="http://schemas.openxmlformats.org/officeDocument/2006/relationships/hyperlink" Id="rId63" Target="https://tscnlab.github.io/ZaunerEtAl_bioRxiv_2026/" TargetMode="External" /><Relationship Type="http://schemas.openxmlformats.org/officeDocument/2006/relationships/hyperlink" Id="rId190" Target="https://www.R-project.org/" TargetMode="External" /><Relationship Type="http://schemas.openxmlformats.org/officeDocument/2006/relationships/hyperlink" Id="rId182" Target="https://www.ncbi.nlm.nih.gov/pubmed/1027738" TargetMode="External" /><Relationship Type="http://schemas.openxmlformats.org/officeDocument/2006/relationships/hyperlink" Id="rId60" Target="https://zenodo.org/communities/22nrm05_melidos/" TargetMode="External" /><Relationship Type="http://schemas.openxmlformats.org/officeDocument/2006/relationships/hyperlink" Id="rId18" Target="mailto:johannes.zauner@tum.de" TargetMode="External" /></Relationships>
</file>

<file path=word/_rels/footnotes.xml.rels><?xml version="1.0" encoding="UTF-8"?><Relationships xmlns="http://schemas.openxmlformats.org/package/2006/relationships"><Relationship Type="http://schemas.openxmlformats.org/officeDocument/2006/relationships/hyperlink" Id="rId228" Target="https://aspredicted.org/te3zw2.pdf" TargetMode="External" /><Relationship Type="http://schemas.openxmlformats.org/officeDocument/2006/relationships/hyperlink" Id="rId92" Target="https://doi.org/10.1001/jamanetworkopen.2025.39031" TargetMode="External" /><Relationship Type="http://schemas.openxmlformats.org/officeDocument/2006/relationships/hyperlink" Id="rId104" Target="https://doi.org/10.1007/s10654-018-0398-4" TargetMode="External" /><Relationship Type="http://schemas.openxmlformats.org/officeDocument/2006/relationships/hyperlink" Id="rId212" Target="https://doi.org/10.1007/s11222-005-4070-y" TargetMode="External" /><Relationship Type="http://schemas.openxmlformats.org/officeDocument/2006/relationships/hyperlink" Id="rId72" Target="https://doi.org/10.1007/s11818-019-00215-x" TargetMode="External" /><Relationship Type="http://schemas.openxmlformats.org/officeDocument/2006/relationships/hyperlink" Id="rId82" Target="https://doi.org/10.1007/s11920-026-01671-7" TargetMode="External" /><Relationship Type="http://schemas.openxmlformats.org/officeDocument/2006/relationships/hyperlink" Id="rId110" Target="https://doi.org/10.1016/0031-9384(86)90427-0" TargetMode="External" /><Relationship Type="http://schemas.openxmlformats.org/officeDocument/2006/relationships/hyperlink" Id="rId118" Target="https://doi.org/10.1016/j.buildenv.2025.112771" TargetMode="External" /><Relationship Type="http://schemas.openxmlformats.org/officeDocument/2006/relationships/hyperlink" Id="rId168" Target="https://doi.org/10.1016/j.clinph.2006.03.011" TargetMode="External" /><Relationship Type="http://schemas.openxmlformats.org/officeDocument/2006/relationships/hyperlink" Id="rId170" Target="https://doi.org/10.1016/j.jad.2016.06.065" TargetMode="External" /><Relationship Type="http://schemas.openxmlformats.org/officeDocument/2006/relationships/hyperlink" Id="rId172" Target="https://doi.org/10.1016/j.jadr.2020.100020" TargetMode="External" /><Relationship Type="http://schemas.openxmlformats.org/officeDocument/2006/relationships/hyperlink" Id="rId90" Target="https://doi.org/10.1016/j.lanepe.2024.100943" TargetMode="External" /><Relationship Type="http://schemas.openxmlformats.org/officeDocument/2006/relationships/hyperlink" Id="rId132" Target="https://doi.org/10.1016/j.measurement.2024.114909" TargetMode="External" /><Relationship Type="http://schemas.openxmlformats.org/officeDocument/2006/relationships/hyperlink" Id="rId108" Target="https://doi.org/10.1016/j.scitotenv.2025.178839" TargetMode="External" /><Relationship Type="http://schemas.openxmlformats.org/officeDocument/2006/relationships/hyperlink" Id="rId206" Target="https://doi.org/10.1037/1082-989X.8.2.129" TargetMode="External" /><Relationship Type="http://schemas.openxmlformats.org/officeDocument/2006/relationships/hyperlink" Id="rId114" Target="https://doi.org/10.1038/s41370-025-00825-8" TargetMode="External" /><Relationship Type="http://schemas.openxmlformats.org/officeDocument/2006/relationships/hyperlink" Id="rId140" Target="https://doi.org/10.1038/s41598-023-43102-0" TargetMode="External" /><Relationship Type="http://schemas.openxmlformats.org/officeDocument/2006/relationships/hyperlink" Id="rId188" Target="https://doi.org/10.1038/s41598-023-48241-y" TargetMode="External" /><Relationship Type="http://schemas.openxmlformats.org/officeDocument/2006/relationships/hyperlink" Id="rId88" Target="https://doi.org/10.1038/s44220-023-00135-8" TargetMode="External" /><Relationship Type="http://schemas.openxmlformats.org/officeDocument/2006/relationships/hyperlink" Id="rId136" Target="https://doi.org/10.1038/s44271-024-00159-5" TargetMode="External" /><Relationship Type="http://schemas.openxmlformats.org/officeDocument/2006/relationships/hyperlink" Id="rId150" Target="https://doi.org/10.1038/s44323-025-00067-9" TargetMode="External" /><Relationship Type="http://schemas.openxmlformats.org/officeDocument/2006/relationships/hyperlink" Id="rId126" Target="https://doi.org/10.1038/s44323-026-00073-5" TargetMode="External" /><Relationship Type="http://schemas.openxmlformats.org/officeDocument/2006/relationships/hyperlink" Id="rId124" Target="https://doi.org/10.1038/s44323-026-00079-z" TargetMode="External" /><Relationship Type="http://schemas.openxmlformats.org/officeDocument/2006/relationships/hyperlink" Id="rId84" Target="https://doi.org/10.1073/pnas.2301608120" TargetMode="External" /><Relationship Type="http://schemas.openxmlformats.org/officeDocument/2006/relationships/hyperlink" Id="rId94" Target="https://doi.org/10.1073/pnas.2405924121" TargetMode="External" /><Relationship Type="http://schemas.openxmlformats.org/officeDocument/2006/relationships/hyperlink" Id="rId142" Target="https://doi.org/10.1080/07420528.2024.2381590" TargetMode="External" /><Relationship Type="http://schemas.openxmlformats.org/officeDocument/2006/relationships/hyperlink" Id="rId112" Target="https://doi.org/10.1093/annweh/wxab092" TargetMode="External" /><Relationship Type="http://schemas.openxmlformats.org/officeDocument/2006/relationships/hyperlink" Id="rId174" Target="https://doi.org/10.1093/jamiaopen/ooac047" TargetMode="External" /><Relationship Type="http://schemas.openxmlformats.org/officeDocument/2006/relationships/hyperlink" Id="rId100" Target="https://doi.org/10.1093/sleep/zsac130" TargetMode="External" /><Relationship Type="http://schemas.openxmlformats.org/officeDocument/2006/relationships/hyperlink" Id="rId152" Target="https://doi.org/10.1093/sleep/zsaf358" TargetMode="External" /><Relationship Type="http://schemas.openxmlformats.org/officeDocument/2006/relationships/hyperlink" Id="rId70" Target="https://doi.org/10.1101/sqb.2007.72.043" TargetMode="External" /><Relationship Type="http://schemas.openxmlformats.org/officeDocument/2006/relationships/hyperlink" Id="rId66" Target="https://doi.org/10.1101/sqb.2007.72.064" TargetMode="External" /><Relationship Type="http://schemas.openxmlformats.org/officeDocument/2006/relationships/hyperlink" Id="rId202" Target="https://doi.org/10.1111/j.1467-9868.2010.00749.x" TargetMode="External" /><Relationship Type="http://schemas.openxmlformats.org/officeDocument/2006/relationships/hyperlink" Id="rId210" Target="https://doi.org/10.1111/j.2517-6161.1987.tb01685.x" TargetMode="External" /><Relationship Type="http://schemas.openxmlformats.org/officeDocument/2006/relationships/hyperlink" Id="rId224" Target="https://doi.org/10.1111/j.2517-6161.1995.tb02031.x" TargetMode="External" /><Relationship Type="http://schemas.openxmlformats.org/officeDocument/2006/relationships/hyperlink" Id="rId78" Target="https://doi.org/10.1111/jpi.12655" TargetMode="External" /><Relationship Type="http://schemas.openxmlformats.org/officeDocument/2006/relationships/hyperlink" Id="rId102" Target="https://doi.org/10.1111/jpi.70023" TargetMode="External" /><Relationship Type="http://schemas.openxmlformats.org/officeDocument/2006/relationships/hyperlink" Id="rId144" Target="https://doi.org/10.1111/jsr.14315" TargetMode="External" /><Relationship Type="http://schemas.openxmlformats.org/officeDocument/2006/relationships/hyperlink" Id="rId106" Target="https://doi.org/10.1126/science.aay3164" TargetMode="External" /><Relationship Type="http://schemas.openxmlformats.org/officeDocument/2006/relationships/hyperlink" Id="rId178" Target="https://doi.org/10.1158/1055-9965.epi-11-0204" TargetMode="External" /><Relationship Type="http://schemas.openxmlformats.org/officeDocument/2006/relationships/hyperlink" Id="rId128" Target="https://doi.org/10.1167/tvst.13.10.28" TargetMode="External" /><Relationship Type="http://schemas.openxmlformats.org/officeDocument/2006/relationships/hyperlink" Id="rId184" Target="https://doi.org/10.1167/tvst.6.4.18" TargetMode="External" /><Relationship Type="http://schemas.openxmlformats.org/officeDocument/2006/relationships/hyperlink" Id="rId96" Target="https://doi.org/10.1177/0004867420968886" TargetMode="External" /><Relationship Type="http://schemas.openxmlformats.org/officeDocument/2006/relationships/hyperlink" Id="rId180" Target="https://doi.org/10.1177/0748730415597520" TargetMode="External" /><Relationship Type="http://schemas.openxmlformats.org/officeDocument/2006/relationships/hyperlink" Id="rId196" Target="https://doi.org/10.1177/07487304251336624" TargetMode="External" /><Relationship Type="http://schemas.openxmlformats.org/officeDocument/2006/relationships/hyperlink" Id="rId200" Target="https://doi.org/10.1177/096228029500400302" TargetMode="External" /><Relationship Type="http://schemas.openxmlformats.org/officeDocument/2006/relationships/hyperlink" Id="rId120" Target="https://doi.org/10.1177/14771535221103258" TargetMode="External" /><Relationship Type="http://schemas.openxmlformats.org/officeDocument/2006/relationships/hyperlink" Id="rId194" Target="https://doi.org/10.1177/14771535231170500" TargetMode="External" /><Relationship Type="http://schemas.openxmlformats.org/officeDocument/2006/relationships/hyperlink" Id="rId134" Target="https://doi.org/10.1186/s12889-024-20206-4" TargetMode="External" /><Relationship Type="http://schemas.openxmlformats.org/officeDocument/2006/relationships/hyperlink" Id="rId74" Target="https://doi.org/10.1186/s12916-025-04608-8" TargetMode="External" /><Relationship Type="http://schemas.openxmlformats.org/officeDocument/2006/relationships/hyperlink" Id="rId208" Target="https://doi.org/10.1198/000313007X188252" TargetMode="External" /><Relationship Type="http://schemas.openxmlformats.org/officeDocument/2006/relationships/hyperlink" Id="rId98" Target="https://doi.org/10.1210/jc.2015-4123" TargetMode="External" /><Relationship Type="http://schemas.openxmlformats.org/officeDocument/2006/relationships/hyperlink" Id="rId198" Target="https://doi.org/10.1214/ss/1177013604" TargetMode="External" /><Relationship Type="http://schemas.openxmlformats.org/officeDocument/2006/relationships/hyperlink" Id="rId148" Target="https://doi.org/10.12688/openreseurope.20985.1" TargetMode="External" /><Relationship Type="http://schemas.openxmlformats.org/officeDocument/2006/relationships/hyperlink" Id="rId156" Target="https://doi.org/10.12688/openreseurope.21304.1" TargetMode="External" /><Relationship Type="http://schemas.openxmlformats.org/officeDocument/2006/relationships/hyperlink" Id="rId158" Target="https://doi.org/10.12688/openreseurope.24060.1" TargetMode="External" /><Relationship Type="http://schemas.openxmlformats.org/officeDocument/2006/relationships/hyperlink" Id="rId116" Target="https://doi.org/10.1289/EHP3431" TargetMode="External" /><Relationship Type="http://schemas.openxmlformats.org/officeDocument/2006/relationships/hyperlink" Id="rId68" Target="https://doi.org/10.1371/journal.pbio.1000145" TargetMode="External" /><Relationship Type="http://schemas.openxmlformats.org/officeDocument/2006/relationships/hyperlink" Id="rId80" Target="https://doi.org/10.1371/journal.pbio.3001571" TargetMode="External" /><Relationship Type="http://schemas.openxmlformats.org/officeDocument/2006/relationships/hyperlink" Id="rId162" Target="https://doi.org/10.1371/journal.pone.0308768" TargetMode="External" /><Relationship Type="http://schemas.openxmlformats.org/officeDocument/2006/relationships/hyperlink" Id="rId214" Target="https://doi.org/10.18637/jss.v067.i01" TargetMode="External" /><Relationship Type="http://schemas.openxmlformats.org/officeDocument/2006/relationships/hyperlink" Id="rId226" Target="https://doi.org/10.21105/joss.01686" TargetMode="External" /><Relationship Type="http://schemas.openxmlformats.org/officeDocument/2006/relationships/hyperlink" Id="rId218" Target="https://doi.org/10.21105/joss.03139" TargetMode="External" /><Relationship Type="http://schemas.openxmlformats.org/officeDocument/2006/relationships/hyperlink" Id="rId222" Target="https://doi.org/10.21105/joss.06962" TargetMode="External" /><Relationship Type="http://schemas.openxmlformats.org/officeDocument/2006/relationships/hyperlink" Id="rId192" Target="https://doi.org/10.21105/joss.07601" TargetMode="External" /><Relationship Type="http://schemas.openxmlformats.org/officeDocument/2006/relationships/hyperlink" Id="rId76" Target="https://doi.org/10.25039/S026.2018" TargetMode="External" /><Relationship Type="http://schemas.openxmlformats.org/officeDocument/2006/relationships/hyperlink" Id="rId122" Target="https://doi.org/10.25039/x051.2025/62xbgg" TargetMode="External" /><Relationship Type="http://schemas.openxmlformats.org/officeDocument/2006/relationships/hyperlink" Id="rId220" Target="https://doi.org/10.32614/CRAN.package.emmeans" TargetMode="External" /><Relationship Type="http://schemas.openxmlformats.org/officeDocument/2006/relationships/hyperlink" Id="rId216" Target="https://doi.org/10.32614/RJ-2017-066" TargetMode="External" /><Relationship Type="http://schemas.openxmlformats.org/officeDocument/2006/relationships/hyperlink" Id="rId160" Target="https://doi.org/10.3389/fpsyt.2023.1199989" TargetMode="External" /><Relationship Type="http://schemas.openxmlformats.org/officeDocument/2006/relationships/hyperlink" Id="rId86" Target="https://doi.org/10.3389/frsle.2023.1268379" TargetMode="External" /><Relationship Type="http://schemas.openxmlformats.org/officeDocument/2006/relationships/hyperlink" Id="rId138" Target="https://doi.org/10.3390/biology8030054" TargetMode="External" /><Relationship Type="http://schemas.openxmlformats.org/officeDocument/2006/relationships/hyperlink" Id="rId146" Target="https://doi.org/10.3390/clockssleep6040042" TargetMode="External" /><Relationship Type="http://schemas.openxmlformats.org/officeDocument/2006/relationships/hyperlink" Id="rId186" Target="https://doi.org/10.3390/ijerph192013599" TargetMode="External" /><Relationship Type="http://schemas.openxmlformats.org/officeDocument/2006/relationships/hyperlink" Id="rId164" Target="https://doi.org/10.3758/s13428-025-02823-y" TargetMode="External" /><Relationship Type="http://schemas.openxmlformats.org/officeDocument/2006/relationships/hyperlink" Id="rId154" Target="https://doi.org/10.48550/arXiv.2606.20719" TargetMode="External" /><Relationship Type="http://schemas.openxmlformats.org/officeDocument/2006/relationships/hyperlink" Id="rId176" Target="https://doi.org/10.5195/jmla.2018.319" TargetMode="External" /><Relationship Type="http://schemas.openxmlformats.org/officeDocument/2006/relationships/hyperlink" Id="rId230" Target="https://doi.org/10.5281/ZENODO.15576731" TargetMode="External" /><Relationship Type="http://schemas.openxmlformats.org/officeDocument/2006/relationships/hyperlink" Id="rId236" Target="https://doi.org/10.5281/ZENODO.16568109" TargetMode="External" /><Relationship Type="http://schemas.openxmlformats.org/officeDocument/2006/relationships/hyperlink" Id="rId232" Target="https://doi.org/10.5281/ZENODO.16834951" TargetMode="External" /><Relationship Type="http://schemas.openxmlformats.org/officeDocument/2006/relationships/hyperlink" Id="rId242" Target="https://doi.org/10.5281/ZENODO.16893901" TargetMode="External" /><Relationship Type="http://schemas.openxmlformats.org/officeDocument/2006/relationships/hyperlink" Id="rId238" Target="https://doi.org/10.5281/ZENODO.16895188" TargetMode="External" /><Relationship Type="http://schemas.openxmlformats.org/officeDocument/2006/relationships/hyperlink" Id="rId240" Target="https://doi.org/10.5281/ZENODO.17289456" TargetMode="External" /><Relationship Type="http://schemas.openxmlformats.org/officeDocument/2006/relationships/hyperlink" Id="rId246" Target="https://doi.org/10.5281/ZENODO.17979893" TargetMode="External" /><Relationship Type="http://schemas.openxmlformats.org/officeDocument/2006/relationships/hyperlink" Id="rId234" Target="https://doi.org/10.5281/ZENODO.18111232" TargetMode="External" /><Relationship Type="http://schemas.openxmlformats.org/officeDocument/2006/relationships/hyperlink" Id="rId244" Target="https://doi.org/10.5281/ZENODO.18925834" TargetMode="External" /><Relationship Type="http://schemas.openxmlformats.org/officeDocument/2006/relationships/hyperlink" Id="rId248" Target="https://doi.org/10.5281/ZENODO.19678543" TargetMode="External" /><Relationship Type="http://schemas.openxmlformats.org/officeDocument/2006/relationships/hyperlink" Id="rId64" Target="https://doi.org/10.5281/zenodo.20547314" TargetMode="External" /><Relationship Type="http://schemas.openxmlformats.org/officeDocument/2006/relationships/hyperlink" Id="rId166" Target="https://doi.org/10.5665/sleep.1642" TargetMode="External" /><Relationship Type="http://schemas.openxmlformats.org/officeDocument/2006/relationships/hyperlink" Id="rId130" Target="https://doi.org/10.64898/2026.07.28.741277" TargetMode="External" /><Relationship Type="http://schemas.openxmlformats.org/officeDocument/2006/relationships/hyperlink" Id="rId204" Target="https://doi.org/10.7717/peerj.6876" TargetMode="External" /><Relationship Type="http://schemas.openxmlformats.org/officeDocument/2006/relationships/hyperlink" Id="rId59" Target="https://github.com/MeLiDosProject" TargetMode="External" /><Relationship Type="http://schemas.openxmlformats.org/officeDocument/2006/relationships/hyperlink" Id="rId62" Target="https://github.com/tscnlab/ZaunerEtAl_bioRxiv_2026" TargetMode="External" /><Relationship Type="http://schemas.openxmlformats.org/officeDocument/2006/relationships/hyperlink" Id="rId250" Target="https://melidosproject.github.io/melidosData/" TargetMode="External" /><Relationship Type="http://schemas.openxmlformats.org/officeDocument/2006/relationships/hyperlink" Id="rId63" Target="https://tscnlab.github.io/ZaunerEtAl_bioRxiv_2026/" TargetMode="External" /><Relationship Type="http://schemas.openxmlformats.org/officeDocument/2006/relationships/hyperlink" Id="rId190" Target="https://www.R-project.org/" TargetMode="External" /><Relationship Type="http://schemas.openxmlformats.org/officeDocument/2006/relationships/hyperlink" Id="rId182" Target="https://www.ncbi.nlm.nih.gov/pubmed/1027738" TargetMode="External" /><Relationship Type="http://schemas.openxmlformats.org/officeDocument/2006/relationships/hyperlink" Id="rId60" Target="https://zenodo.org/communities/22nrm05_melidos/" TargetMode="External" /><Relationship Type="http://schemas.openxmlformats.org/officeDocument/2006/relationships/hyperlink" Id="rId18" Target="mailto:johannes.zauner@t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2026-09-11T09:29:37Z</dcterms:created>
  <dcterms:modified xsi:type="dcterms:W3CDTF">2026-09-11T09:29:37Z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