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S1. Descriptive sample flow</w:t>
      </w:r>
    </w:p>
    <w:tbl>
      <w:tblPr>
        <w:tblW w:type="dxa" w:w="10325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2677"/>
        <w:gridCol w:w="5583"/>
        <w:gridCol w:w="2065"/>
      </w:tblGrid>
      <w:tr>
        <w:trPr>
          <w:cantSplit/>
          <w:tblHeader/>
        </w:trPr>
        <w:tc>
          <w:tcPr>
            <w:tcW w:type="dxa" w:w="10325"/>
            <w:gridSpan w:val="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Descriptive sample flow and analytical support</w:t>
            </w:r>
          </w:p>
        </w:tc>
      </w:tr>
      <w:tr>
        <w:trPr>
          <w:cantSplit/>
          <w:tblHeader/>
        </w:trPr>
        <w:tc>
          <w:tcPr>
            <w:tcW w:type="dxa" w:w="2677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Stage</w:t>
            </w:r>
          </w:p>
        </w:tc>
        <w:tc>
          <w:tcPr>
            <w:tcW w:type="dxa" w:w="5583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Quantity</w:t>
            </w:r>
          </w:p>
        </w:tc>
        <w:tc>
          <w:tcPr>
            <w:tcW w:type="dxa" w:w="206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Count</w:t>
            </w:r>
          </w:p>
        </w:tc>
      </w:tr>
      <w:tr>
        <w:trPr>
          <w:cantSplit/>
        </w:trPr>
        <w:tc>
          <w:tcPr>
            <w:tcW w:type="dxa" w:w="10325"/>
            <w:gridSpan w:val="3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 roster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Available normalized participant metadata</w:t>
            </w:r>
          </w:p>
        </w:tc>
        <w:tc>
          <w:tcPr>
            <w:tcW w:type="dxa" w:w="55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Participants</w:t>
            </w:r>
          </w:p>
        </w:tc>
        <w:tc>
          <w:tcPr>
            <w:tcW w:type="dxa" w:w="20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191</w:t>
            </w:r>
          </w:p>
        </w:tc>
      </w:tr>
      <w:tr>
        <w:trPr>
          <w:cantSplit/>
        </w:trPr>
        <w:tc>
          <w:tcPr>
            <w:tcW w:type="dxa" w:w="10325"/>
            <w:gridSpan w:val="3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Primary near-eye sensor position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At least 80% complete before all-zero screen</w:t>
            </w:r>
          </w:p>
        </w:tc>
        <w:tc>
          <w:tcPr>
            <w:tcW w:type="dxa" w:w="55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Participant-days</w:t>
            </w:r>
          </w:p>
        </w:tc>
        <w:tc>
          <w:tcPr>
            <w:tcW w:type="dxa" w:w="20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818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Exact all-zero days excluded</w:t>
            </w:r>
          </w:p>
        </w:tc>
        <w:tc>
          <w:tcPr>
            <w:tcW w:type="dxa" w:w="55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Participant-days</w:t>
            </w:r>
          </w:p>
        </w:tc>
        <w:tc>
          <w:tcPr>
            <w:tcW w:type="dxa" w:w="206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Final descriptive dataset</w:t>
            </w:r>
          </w:p>
        </w:tc>
        <w:tc>
          <w:tcPr>
            <w:tcW w:type="dxa" w:w="55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Participants</w:t>
            </w:r>
          </w:p>
        </w:tc>
        <w:tc>
          <w:tcPr>
            <w:tcW w:type="dxa" w:w="20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Final descriptive dataset</w:t>
            </w:r>
          </w:p>
        </w:tc>
        <w:tc>
          <w:tcPr>
            <w:tcW w:type="dxa" w:w="55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Participant-days</w:t>
            </w:r>
          </w:p>
        </w:tc>
        <w:tc>
          <w:tcPr>
            <w:tcW w:type="dxa" w:w="206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816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Final descriptive dataset</w:t>
            </w:r>
          </w:p>
        </w:tc>
        <w:tc>
          <w:tcPr>
            <w:tcW w:type="dxa" w:w="55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One-minute real observations</w:t>
            </w:r>
          </w:p>
        </w:tc>
        <w:tc>
          <w:tcPr>
            <w:tcW w:type="dxa" w:w="20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1,175,160</w:t>
            </w:r>
          </w:p>
        </w:tc>
      </w:tr>
      <w:tr>
        <w:trPr>
          <w:cantSplit/>
        </w:trPr>
        <w:tc>
          <w:tcPr>
            <w:tcW w:type="dxa" w:w="10325"/>
            <w:gridSpan w:val="3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Complementary chest sensor position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At least 80% complete before all-zero screen</w:t>
            </w:r>
          </w:p>
        </w:tc>
        <w:tc>
          <w:tcPr>
            <w:tcW w:type="dxa" w:w="55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Participant-days</w:t>
            </w:r>
          </w:p>
        </w:tc>
        <w:tc>
          <w:tcPr>
            <w:tcW w:type="dxa" w:w="20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905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Exact all-zero days excluded</w:t>
            </w:r>
          </w:p>
        </w:tc>
        <w:tc>
          <w:tcPr>
            <w:tcW w:type="dxa" w:w="55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Participant-days</w:t>
            </w:r>
          </w:p>
        </w:tc>
        <w:tc>
          <w:tcPr>
            <w:tcW w:type="dxa" w:w="206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Final descriptive dataset</w:t>
            </w:r>
          </w:p>
        </w:tc>
        <w:tc>
          <w:tcPr>
            <w:tcW w:type="dxa" w:w="55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Participants</w:t>
            </w:r>
          </w:p>
        </w:tc>
        <w:tc>
          <w:tcPr>
            <w:tcW w:type="dxa" w:w="20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154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Final descriptive dataset</w:t>
            </w:r>
          </w:p>
        </w:tc>
        <w:tc>
          <w:tcPr>
            <w:tcW w:type="dxa" w:w="558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Participant-days</w:t>
            </w:r>
          </w:p>
        </w:tc>
        <w:tc>
          <w:tcPr>
            <w:tcW w:type="dxa" w:w="206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902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Final descriptive dataset</w:t>
            </w:r>
          </w:p>
        </w:tc>
        <w:tc>
          <w:tcPr>
            <w:tcW w:type="dxa" w:w="55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One-minute real observations</w:t>
            </w:r>
          </w:p>
        </w:tc>
        <w:tc>
          <w:tcPr>
            <w:tcW w:type="dxa" w:w="20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1,298,880</w:t>
            </w:r>
          </w:p>
        </w:tc>
      </w:tr>
      <w:tr>
        <w:trPr>
          <w:cantSplit/>
        </w:trPr>
        <w:tc>
          <w:tcPr>
            <w:tcW w:type="dxa" w:w="10325"/>
            <w:gridSpan w:val="3"/>
            <w:vAlign w:val="center"/>
            <w:shd w:fill="F1F3F5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Paired main subset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Paired main subset</w:t>
            </w:r>
          </w:p>
        </w:tc>
        <w:tc>
          <w:tcPr>
            <w:tcW w:type="dxa" w:w="558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Participants</w:t>
            </w:r>
          </w:p>
        </w:tc>
        <w:tc>
          <w:tcPr>
            <w:tcW w:type="dxa" w:w="20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112</w:t>
            </w:r>
          </w:p>
        </w:tc>
      </w:tr>
      <w:tr>
        <w:trPr>
          <w:cantSplit/>
        </w:trPr>
        <w:tc>
          <w:tcPr>
            <w:tcW w:type="dxa" w:w="2677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Paired main subset</w:t>
            </w:r>
          </w:p>
        </w:tc>
        <w:tc>
          <w:tcPr>
            <w:tcW w:type="dxa" w:w="5583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Paired participant-days</w:t>
            </w:r>
          </w:p>
        </w:tc>
        <w:tc>
          <w:tcPr>
            <w:tcW w:type="dxa" w:w="2065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643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Counts use their stated denominator. An excluded participant-day is an all-zero day, not necessarily an excluded participant. The paired row reports paired participant-days, not minute-level observation pairs.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S1.</w:t>
      </w:r>
      <w:r>
        <w:rPr>
          <w:rFonts w:ascii="Arial" w:hAnsi="Arial"/>
          <w:b w:val="0"/>
          <w:i w:val="0"/>
          <w:color w:val="333333"/>
          <w:sz w:val="20"/>
        </w:rPr>
        <w:t xml:space="preserve"> Participant, participant-day, and one-minute observation counts across the roster, sensor-specific completeness and all-zero screens, final descriptive datasets, and paired main subset. Each row names its denominator explicitly. An excluded participant-day is not necessarily an excluded participant.</w:t>
      </w:r>
    </w:p>
    <w:sectPr w:rsidR="00597312" w:rsidRPr="00791F7F" w:rsidSect="0000781E">
      <w:footerReference w:type="even" r:id="rId8"/>
      <w:footerReference w:type="default" r:id="rId9"/>
      <w:pgSz w:w="11909" w:h="16834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