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S5. Near-eye fitted-curve dispersion and full-model R² allocation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558"/>
        <w:gridCol w:w="3631"/>
        <w:gridCol w:w="4139"/>
        <w:gridCol w:w="3921"/>
      </w:tblGrid>
      <w:tr>
        <w:trPr>
          <w:cantSplit/>
          <w:tblHeader/>
        </w:trPr>
        <w:tc>
          <w:tcPr>
            <w:tcW w:type="dxa" w:w="15250"/>
            <w:gridSpan w:val="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Near-eye fitted-curve dispersion and conditional Shapley allocation</w:t>
            </w:r>
          </w:p>
        </w:tc>
      </w:tr>
      <w:tr>
        <w:trPr>
          <w:cantSplit/>
          <w:tblHeader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Fitted-curve result (95% CI)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Conditional Shapley result (95% CI)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Share (95% CI)</w:t>
            </w:r>
          </w:p>
        </w:tc>
      </w:tr>
      <w:tr>
        <w:trPr>
          <w:cantSplit/>
        </w:trPr>
        <w:tc>
          <w:tcPr>
            <w:tcW w:type="dxa" w:w="15250"/>
            <w:gridSpan w:val="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Component summaries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Shared local-clock curve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applicable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0.611 (0.550 to 0.657)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78.9% (73.6% to 82.6%)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 pattern</w:t>
            </w:r>
          </w:p>
        </w:tc>
        <w:tc>
          <w:tcPr>
            <w:tcW w:type="dxa" w:w="363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0.100 (0.041 to 0.139)</w:t>
            </w:r>
          </w:p>
        </w:tc>
        <w:tc>
          <w:tcPr>
            <w:tcW w:type="dxa" w:w="41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0.016 (0.007 to 0.026)</w:t>
            </w:r>
          </w:p>
        </w:tc>
        <w:tc>
          <w:tcPr>
            <w:tcW w:type="dxa" w:w="39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2.0% (0.9% to 3.5%)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pattern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0.180 (0.126 to 0.214)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0.100 (0.079 to 0.125)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12.9% (10.1% to 16.4%)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Participant-day shift</w:t>
            </w:r>
          </w:p>
        </w:tc>
        <w:tc>
          <w:tcPr>
            <w:tcW w:type="dxa" w:w="363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0.019 (0.010 to 0.024)</w:t>
            </w:r>
          </w:p>
        </w:tc>
        <w:tc>
          <w:tcPr>
            <w:tcW w:type="dxa" w:w="41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0.048 (0.035 to 0.064)</w:t>
            </w:r>
          </w:p>
        </w:tc>
        <w:tc>
          <w:tcPr>
            <w:tcW w:type="dxa" w:w="39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6.2% (4.4% to 8.6%)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pattern + day shift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0.200 (0.140 to 0.230)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separately allocated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applicable</w:t>
            </w:r>
          </w:p>
        </w:tc>
      </w:tr>
      <w:tr>
        <w:trPr>
          <w:cantSplit/>
        </w:trPr>
        <w:tc>
          <w:tcPr>
            <w:tcW w:type="dxa" w:w="15250"/>
            <w:gridSpan w:val="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Participant-to-site comparisons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/ site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1.797 (1.157 to 4.332)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6.41 (3.85 to 15.14)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applicable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(Participant + day) / site</w:t>
            </w:r>
          </w:p>
        </w:tc>
        <w:tc>
          <w:tcPr>
            <w:tcW w:type="dxa" w:w="3631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1.991 (1.291 to 4.767)</w:t>
            </w:r>
          </w:p>
        </w:tc>
        <w:tc>
          <w:tcPr>
            <w:tcW w:type="dxa" w:w="413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9.49 (5.77 to 21.81)</w:t>
            </w:r>
          </w:p>
        </w:tc>
        <w:tc>
          <w:tcPr>
            <w:tcW w:type="dxa" w:w="3921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90.5% (85.2% to 95.6%)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Full-model in-sample R² was 0.775 (0.739 to 0.804). Fitted-curve variation is in squared log10(melEDI + 0.1 lx) prediction units; curve and Shapley ratios are unitless. Conditional Shapley values allocate in-sample R² with the shared local-clock curve as the mandatory baseline. Intervals are 95% percentile hierarchical cluster-bootstrap intervals from 2,000 replicates. Dispersion and Shapley credit are different estimands and must not be added or interpreted causally.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S5.</w:t>
      </w:r>
      <w:r>
        <w:rPr>
          <w:rFonts w:ascii="Arial" w:hAnsi="Arial"/>
          <w:b w:val="0"/>
          <w:i w:val="0"/>
          <w:color w:val="333333"/>
          <w:sz w:val="20"/>
        </w:rPr>
        <w:t xml:space="preserve"> Near-eye fitted-curve dispersion and Shapley allocation of full-model in-sample R². Fitted-curve variation is in squared log10(melanopic EDI + 0.1 lx) prediction units; dispersion and R²-share ratios are unitless. The allocation includes the shared local-clock curve in every component model as the baseline. Intervals are 95% hierarchical cluster-bootstrap percentile intervals from 2,000 replicates and are conditional on the fitted models. Dispersion and R² allocation describe different estimands and should not be added or interpreted causally.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