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S9. Participant-hour routine associations</w:t>
      </w:r>
    </w:p>
    <w:tbl>
      <w:tblPr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5394"/>
        <w:gridCol w:w="3082"/>
        <w:gridCol w:w="1849"/>
      </w:tblGrid>
      <w:tr>
        <w:trPr>
          <w:cantSplit/>
          <w:tblHeader/>
        </w:trPr>
        <w:tc>
          <w:tcPr>
            <w:tcW w:type="dxa" w:w="539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Predictor</w:t>
            </w:r>
          </w:p>
        </w:tc>
        <w:tc>
          <w:tcPr>
            <w:tcW w:type="dxa" w:w="308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Ratio (95% CI)</w:t>
            </w:r>
          </w:p>
        </w:tc>
        <w:tc>
          <w:tcPr>
            <w:tcW w:type="dxa" w:w="184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</w:tr>
      <w:tr>
        <w:trPr>
          <w:cantSplit/>
        </w:trPr>
        <w:tc>
          <w:tcPr>
            <w:tcW w:type="dxa" w:w="53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Free day versus work day</w:t>
            </w:r>
          </w:p>
        </w:tc>
        <w:tc>
          <w:tcPr>
            <w:tcW w:type="dxa" w:w="308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1.45 × (1.14–1.85)</w:t>
            </w:r>
          </w:p>
        </w:tc>
        <w:tc>
          <w:tcPr>
            <w:tcW w:type="dxa" w:w="18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0.004</w:t>
            </w:r>
          </w:p>
        </w:tc>
      </w:tr>
      <w:tr>
        <w:trPr>
          <w:cantSplit/>
        </w:trPr>
        <w:tc>
          <w:tcPr>
            <w:tcW w:type="dxa" w:w="539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Active versus sedentary</w:t>
            </w:r>
          </w:p>
        </w:tc>
        <w:tc>
          <w:tcPr>
            <w:tcW w:type="dxa" w:w="308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2.06 × (1.54–2.76)</w:t>
            </w:r>
          </w:p>
        </w:tc>
        <w:tc>
          <w:tcPr>
            <w:tcW w:type="dxa" w:w="18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</w:tr>
      <w:tr>
        <w:trPr>
          <w:cantSplit/>
        </w:trPr>
        <w:tc>
          <w:tcPr>
            <w:tcW w:type="dxa" w:w="539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Previous sleep duration (per hour)</w:t>
            </w:r>
          </w:p>
        </w:tc>
        <w:tc>
          <w:tcPr>
            <w:tcW w:type="dxa" w:w="3082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0.98 × (0.85–1.12)</w:t>
            </w:r>
          </w:p>
        </w:tc>
        <w:tc>
          <w:tcPr>
            <w:tcW w:type="dxa" w:w="1849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0.745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Directions are free versus work day, active versus sedentary day status, and the ratio per one additional hour of previous sleep. Participant-cluster-robust 95% CIs use HC3 with 137 participants. The three p-values form one FDR-adjusted family; the null ratio is 1.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S9.</w:t>
      </w:r>
      <w:r>
        <w:rPr>
          <w:rFonts w:ascii="Arial" w:hAnsi="Arial"/>
          <w:b w:val="0"/>
          <w:i w:val="0"/>
          <w:color w:val="333333"/>
          <w:sz w:val="20"/>
        </w:rPr>
        <w:t xml:space="preserve"> Common-association estimates from the participant-hour analysis of Free versus Work day, Active versus Sedentary daily activity status and each additional hour of previous-night sleep duration. Ratios and participant-cluster-robust 95% confidence intervals come from the fixed-site model; the three </w:t>
      </w:r>
      <w:r>
        <w:rPr>
          <w:rFonts w:ascii="Arial" w:hAnsi="Arial"/>
          <w:b w:val="0"/>
          <w:i/>
          <w:color w:val="333333"/>
          <w:sz w:val="20"/>
        </w:rPr>
        <w:t>p</w:t>
      </w:r>
      <w:r>
        <w:rPr>
          <w:rFonts w:ascii="Arial" w:hAnsi="Arial"/>
          <w:b w:val="0"/>
          <w:i w:val="0"/>
          <w:color w:val="333333"/>
          <w:sz w:val="20"/>
        </w:rPr>
        <w:t xml:space="preserve"> values form one FDR-adjusted family. Predictor-by-site differences are shown in Supplementary Figure S12.</w:t>
      </w:r>
    </w:p>
    <w:sectPr w:rsidR="00597312" w:rsidRPr="00791F7F" w:rsidSect="0000781E">
      <w:footerReference w:type="even" r:id="rId8"/>
      <w:footerReference w:type="default" r:id="rId9"/>
      <w:pgSz w:w="11909" w:h="16834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