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S4. Exploratory cross-window recommendation-adherence associations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1564"/>
        <w:gridCol w:w="2503"/>
        <w:gridCol w:w="1251"/>
        <w:gridCol w:w="3676"/>
        <w:gridCol w:w="6256"/>
      </w:tblGrid>
      <w:tr>
        <w:trPr>
          <w:cantSplit/>
          <w:tblHeader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Exploratory cross-window recommendation-adherence associations</w:t>
            </w:r>
          </w:p>
        </w:tc>
      </w:tr>
      <w:tr>
        <w:trPr>
          <w:cantSplit/>
          <w:tblHeader/>
        </w:trPr>
        <w:tc>
          <w:tcPr>
            <w:tcW w:type="dxa" w:w="156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Outcome window</w:t>
            </w:r>
          </w:p>
        </w:tc>
        <w:tc>
          <w:tcPr>
            <w:tcW w:type="dxa" w:w="250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Difference per +10 percentage points Daytime adherence, percentage points (95% CI)</w:t>
            </w:r>
          </w:p>
        </w:tc>
        <w:tc>
          <w:tcPr>
            <w:tcW w:type="dxa" w:w="1251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367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FDR-correction set/family</w:t>
            </w:r>
          </w:p>
        </w:tc>
        <w:tc>
          <w:tcPr>
            <w:tcW w:type="dxa" w:w="625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Interpretation for recommendation adherence</w:t>
            </w:r>
          </w:p>
        </w:tc>
      </w:tr>
      <w:tr>
        <w:trPr>
          <w:cantSplit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Within participant, linked cycle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250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-0.26 (-0.95 to 0.43)</w:t>
            </w:r>
          </w:p>
        </w:tc>
        <w:tc>
          <w:tcPr>
            <w:tcW w:type="dxa" w:w="125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0.453</w:t>
            </w:r>
          </w:p>
        </w:tc>
        <w:tc>
          <w:tcPr>
            <w:tcW w:type="dxa" w:w="367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Four prespecified primary cross-window tests</w:t>
            </w:r>
          </w:p>
        </w:tc>
        <w:tc>
          <w:tcPr>
            <w:tcW w:type="dxa" w:w="62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retained evidence that a cycle with 10 percentage points higher Daytime adherence had different Sleep adherence; the day-level claim is withheld because serial dependence remains unresolved.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25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-1.09 (-2.75 to 0.56)</w:t>
            </w:r>
          </w:p>
        </w:tc>
        <w:tc>
          <w:tcPr>
            <w:tcW w:type="dxa" w:w="125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0.258</w:t>
            </w:r>
          </w:p>
        </w:tc>
        <w:tc>
          <w:tcPr>
            <w:tcW w:type="dxa" w:w="367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Four prespecified primary cross-window tests</w:t>
            </w:r>
          </w:p>
        </w:tc>
        <w:tc>
          <w:tcPr>
            <w:tcW w:type="dxa" w:w="62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retained evidence that a cycle with 10 percentage points higher Daytime adherence had different Pre-sleep adherence; the day-level claim is withheld because serial dependence remains unresolved.</w:t>
            </w:r>
          </w:p>
        </w:tc>
      </w:tr>
      <w:tr>
        <w:trPr>
          <w:cantSplit/>
        </w:trPr>
        <w:tc>
          <w:tcPr>
            <w:tcW w:type="dxa" w:w="15250"/>
            <w:gridSpan w:val="5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Between participants, observed monitoring-period average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250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-2.52 (-3.55 to -1.48)</w:t>
            </w:r>
          </w:p>
        </w:tc>
        <w:tc>
          <w:tcPr>
            <w:tcW w:type="dxa" w:w="125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67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Four prespecified primary cross-window tests</w:t>
            </w:r>
          </w:p>
        </w:tc>
        <w:tc>
          <w:tcPr>
            <w:tcW w:type="dxa" w:w="62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 with 10 percentage points higher average Daytime adherence had 2.52 percentage points lower average Sleep adherence over the monitoring period.</w:t>
            </w:r>
          </w:p>
        </w:tc>
      </w:tr>
      <w:tr>
        <w:trPr>
          <w:cantSplit/>
        </w:trPr>
        <w:tc>
          <w:tcPr>
            <w:tcW w:type="dxa" w:w="156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2503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-3.59 (-5.94 to -1.25)</w:t>
            </w:r>
          </w:p>
        </w:tc>
        <w:tc>
          <w:tcPr>
            <w:tcW w:type="dxa" w:w="1251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0.005</w:t>
            </w:r>
          </w:p>
        </w:tc>
        <w:tc>
          <w:tcPr>
            <w:tcW w:type="dxa" w:w="3676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Four prespecified primary cross-window tests</w:t>
            </w:r>
          </w:p>
        </w:tc>
        <w:tc>
          <w:tcPr>
            <w:tcW w:type="dxa" w:w="6256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 with 10 percentage points higher average Daytime adherence had 3.59 percentage points lower average Pre-sleep adherence over the monitoring period.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All four tests form one FDR-correction set. Site-standardized estimates give nine sites equal weight and use 50:50 Work/Free weighting. The primary sample contained 1,376 target-window rows from 140 participants and 761 linked cycles. Within-participant claims are withheld because temporal dependence remains unresolved. Between-participant estimates describe observed monitoring-period averages, not rankings, stable traits, or causal effects. Confidence intervals are not multiplicity adjusted.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S4.</w:t>
      </w:r>
      <w:r>
        <w:rPr>
          <w:rFonts w:ascii="Arial" w:hAnsi="Arial"/>
          <w:b w:val="0"/>
          <w:i w:val="0"/>
          <w:color w:val="333333"/>
          <w:sz w:val="20"/>
        </w:rPr>
        <w:t xml:space="preserve"> Exploratory within-participant and between-participant associations across Brown et al. recommendation windows. Results are percentage-point differences per 10 percentage points higher Daytime adherence. The four tests form one FDR family. The within-participant day-level claim is withheld because serial dependence remains unresolved. Between-participant results describe observed monitoring-period averages and do not establish rankings, stable traits, or causal effects.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