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S8. Nonlinear civil-photoperiod classifications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3206"/>
        <w:gridCol w:w="1095"/>
        <w:gridCol w:w="1877"/>
        <w:gridCol w:w="3128"/>
        <w:gridCol w:w="5944"/>
      </w:tblGrid>
      <w:tr>
        <w:trPr>
          <w:cantSplit/>
          <w:tblHeader/>
        </w:trPr>
        <w:tc>
          <w:tcPr>
            <w:tcW w:type="dxa" w:w="3206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1095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Qualifying transition</w:t>
            </w:r>
          </w:p>
        </w:tc>
        <w:tc>
          <w:tcPr>
            <w:tcW w:type="dxa" w:w="1877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Qualifying transition bracket (h)</w:t>
            </w:r>
          </w:p>
        </w:tc>
        <w:tc>
          <w:tcPr>
            <w:tcW w:type="dxa" w:w="3128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Endpoint derivative</w:t>
            </w:r>
          </w:p>
        </w:tc>
        <w:tc>
          <w:tcPr>
            <w:tcW w:type="dxa" w:w="5944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Interpretation</w:t>
            </w:r>
          </w:p>
        </w:tc>
      </w:tr>
      <w:tr>
        <w:trPr>
          <w:cantSplit/>
        </w:trPr>
        <w:tc>
          <w:tcPr>
            <w:tcW w:type="dxa" w:w="15250"/>
            <w:gridSpan w:val="5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Light level</w:t>
            </w:r>
          </w:p>
        </w:tc>
      </w:tr>
      <w:tr>
        <w:trPr>
          <w:cantSplit/>
        </w:trPr>
        <w:tc>
          <w:tcPr>
            <w:tcW w:type="dxa" w:w="320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Mean melEDI</w:t>
            </w:r>
          </w:p>
        </w:tc>
        <w:tc>
          <w:tcPr>
            <w:tcW w:type="dxa" w:w="1095"/>
            <w:vAlign w:val="center"/>
            <w:shd w:fill="E8F3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Yes</w:t>
            </w:r>
          </w:p>
        </w:tc>
        <w:tc>
          <w:tcPr>
            <w:tcW w:type="dxa" w:w="1877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16.10–16.20</w:t>
            </w:r>
          </w:p>
        </w:tc>
        <w:tc>
          <w:tcPr>
            <w:tcW w:type="dxa" w:w="312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0.008 (95% CI -0.111 to 0.127)</w:t>
            </w:r>
          </w:p>
        </w:tc>
        <w:tc>
          <w:tcPr>
            <w:tcW w:type="dxa" w:w="594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Detected increase followed by a sustained zero-compatible tail</w:t>
            </w:r>
          </w:p>
        </w:tc>
      </w:tr>
      <w:tr>
        <w:trPr>
          <w:cantSplit/>
        </w:trPr>
        <w:tc>
          <w:tcPr>
            <w:tcW w:type="dxa" w:w="320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Brightest 10 h mean</w:t>
            </w:r>
          </w:p>
        </w:tc>
        <w:tc>
          <w:tcPr>
            <w:tcW w:type="dxa" w:w="1095"/>
            <w:vAlign w:val="center"/>
            <w:shd w:fill="E8F3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Yes</w:t>
            </w:r>
          </w:p>
        </w:tc>
        <w:tc>
          <w:tcPr>
            <w:tcW w:type="dxa" w:w="1877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15.17–15.27</w:t>
            </w:r>
          </w:p>
        </w:tc>
        <w:tc>
          <w:tcPr>
            <w:tcW w:type="dxa" w:w="312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0.059 (95% CI -0.083 to 0.201)</w:t>
            </w:r>
          </w:p>
        </w:tc>
        <w:tc>
          <w:tcPr>
            <w:tcW w:type="dxa" w:w="594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Detected increase followed by a sustained zero-compatible tail</w:t>
            </w:r>
          </w:p>
        </w:tc>
      </w:tr>
      <w:tr>
        <w:trPr>
          <w:cantSplit/>
        </w:trPr>
        <w:tc>
          <w:tcPr>
            <w:tcW w:type="dxa" w:w="320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Darkest 10 h mean</w:t>
            </w:r>
          </w:p>
        </w:tc>
        <w:tc>
          <w:tcPr>
            <w:tcW w:type="dxa" w:w="1095"/>
            <w:vAlign w:val="center"/>
            <w:shd w:fill="E8F3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Yes</w:t>
            </w:r>
          </w:p>
        </w:tc>
        <w:tc>
          <w:tcPr>
            <w:tcW w:type="dxa" w:w="1877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14.86–14.96</w:t>
            </w:r>
          </w:p>
        </w:tc>
        <w:tc>
          <w:tcPr>
            <w:tcW w:type="dxa" w:w="312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-0.086 (95% CI -0.216 to 0.044)</w:t>
            </w:r>
          </w:p>
        </w:tc>
        <w:tc>
          <w:tcPr>
            <w:tcW w:type="dxa" w:w="594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Detected increase followed by a sustained zero-compatible tail</w:t>
            </w:r>
          </w:p>
        </w:tc>
      </w:tr>
      <w:tr>
        <w:trPr>
          <w:cantSplit/>
        </w:trPr>
        <w:tc>
          <w:tcPr>
            <w:tcW w:type="dxa" w:w="15250"/>
            <w:gridSpan w:val="5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Duration and continuous period</w:t>
            </w:r>
          </w:p>
        </w:tc>
      </w:tr>
      <w:tr>
        <w:trPr>
          <w:cantSplit/>
        </w:trPr>
        <w:tc>
          <w:tcPr>
            <w:tcW w:type="dxa" w:w="320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above 1,000 lx melEDI</w:t>
            </w:r>
          </w:p>
        </w:tc>
        <w:tc>
          <w:tcPr>
            <w:tcW w:type="dxa" w:w="1095"/>
            <w:vAlign w:val="center"/>
            <w:shd w:fill="E8F3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Yes</w:t>
            </w:r>
          </w:p>
        </w:tc>
        <w:tc>
          <w:tcPr>
            <w:tcW w:type="dxa" w:w="1877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14.86–14.96</w:t>
            </w:r>
          </w:p>
        </w:tc>
        <w:tc>
          <w:tcPr>
            <w:tcW w:type="dxa" w:w="312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0.098 (95% CI -0.176 to 0.371)</w:t>
            </w:r>
          </w:p>
        </w:tc>
        <w:tc>
          <w:tcPr>
            <w:tcW w:type="dxa" w:w="594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Detected increase followed by a sustained zero-compatible tail</w:t>
            </w:r>
          </w:p>
        </w:tc>
      </w:tr>
      <w:tr>
        <w:trPr>
          <w:cantSplit/>
        </w:trPr>
        <w:tc>
          <w:tcPr>
            <w:tcW w:type="dxa" w:w="320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above 250 lx melEDI during wake</w:t>
            </w:r>
          </w:p>
        </w:tc>
        <w:tc>
          <w:tcPr>
            <w:tcW w:type="dxa" w:w="1095"/>
            <w:vAlign w:val="center"/>
            <w:shd w:fill="E8F3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Yes</w:t>
            </w:r>
          </w:p>
        </w:tc>
        <w:tc>
          <w:tcPr>
            <w:tcW w:type="dxa" w:w="1877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14.35–14.45</w:t>
            </w:r>
          </w:p>
        </w:tc>
        <w:tc>
          <w:tcPr>
            <w:tcW w:type="dxa" w:w="312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0.060 (95% CI -0.159 to 0.279)</w:t>
            </w:r>
          </w:p>
        </w:tc>
        <w:tc>
          <w:tcPr>
            <w:tcW w:type="dxa" w:w="594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Detected increase followed by a sustained zero-compatible tail</w:t>
            </w:r>
          </w:p>
        </w:tc>
      </w:tr>
      <w:tr>
        <w:trPr>
          <w:cantSplit/>
        </w:trPr>
        <w:tc>
          <w:tcPr>
            <w:tcW w:type="dxa" w:w="320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below 10 lx melEDI before sleep</w:t>
            </w:r>
          </w:p>
        </w:tc>
        <w:tc>
          <w:tcPr>
            <w:tcW w:type="dxa" w:w="109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</w:t>
            </w:r>
          </w:p>
        </w:tc>
        <w:tc>
          <w:tcPr>
            <w:tcW w:type="dxa" w:w="1877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312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-0.085 (95% CI -0.154 to -0.016)</w:t>
            </w:r>
          </w:p>
        </w:tc>
        <w:tc>
          <w:tcPr>
            <w:tcW w:type="dxa" w:w="594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 preceding detected increase</w:t>
            </w:r>
          </w:p>
        </w:tc>
      </w:tr>
      <w:tr>
        <w:trPr>
          <w:cantSplit/>
        </w:trPr>
        <w:tc>
          <w:tcPr>
            <w:tcW w:type="dxa" w:w="320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below 1 lx melEDI during sleep</w:t>
            </w:r>
          </w:p>
        </w:tc>
        <w:tc>
          <w:tcPr>
            <w:tcW w:type="dxa" w:w="109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</w:t>
            </w:r>
          </w:p>
        </w:tc>
        <w:tc>
          <w:tcPr>
            <w:tcW w:type="dxa" w:w="1877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312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0.062 (95% CI -0.042 to 0.165)</w:t>
            </w:r>
          </w:p>
        </w:tc>
        <w:tc>
          <w:tcPr>
            <w:tcW w:type="dxa" w:w="594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 preceding detected increase</w:t>
            </w:r>
          </w:p>
        </w:tc>
      </w:tr>
      <w:tr>
        <w:trPr>
          <w:cantSplit/>
        </w:trPr>
        <w:tc>
          <w:tcPr>
            <w:tcW w:type="dxa" w:w="320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Longest continuous period above 250 lx melEDI</w:t>
            </w:r>
          </w:p>
        </w:tc>
        <w:tc>
          <w:tcPr>
            <w:tcW w:type="dxa" w:w="109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</w:t>
            </w:r>
          </w:p>
        </w:tc>
        <w:tc>
          <w:tcPr>
            <w:tcW w:type="dxa" w:w="1877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312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0.041 (95% CI 0.025 to 0.058)</w:t>
            </w:r>
          </w:p>
        </w:tc>
        <w:tc>
          <w:tcPr>
            <w:tcW w:type="dxa" w:w="594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Increase remained detected at the recorded maximum</w:t>
            </w:r>
          </w:p>
        </w:tc>
      </w:tr>
      <w:tr>
        <w:trPr>
          <w:cantSplit/>
        </w:trPr>
        <w:tc>
          <w:tcPr>
            <w:tcW w:type="dxa" w:w="15250"/>
            <w:gridSpan w:val="5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Exposure history</w:t>
            </w:r>
          </w:p>
        </w:tc>
      </w:tr>
      <w:tr>
        <w:trPr>
          <w:cantSplit/>
        </w:trPr>
        <w:tc>
          <w:tcPr>
            <w:tcW w:type="dxa" w:w="3206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melEDI dose</w:t>
            </w:r>
          </w:p>
        </w:tc>
        <w:tc>
          <w:tcPr>
            <w:tcW w:type="dxa" w:w="1095"/>
            <w:vAlign w:val="center"/>
            <w:shd w:fill="E8F3F8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Yes</w:t>
            </w:r>
          </w:p>
        </w:tc>
        <w:tc>
          <w:tcPr>
            <w:tcW w:type="dxa" w:w="1877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14.24–14.35</w:t>
            </w:r>
          </w:p>
        </w:tc>
        <w:tc>
          <w:tcPr>
            <w:tcW w:type="dxa" w:w="3128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0.070 (95% CI -0.069 to 0.209)</w:t>
            </w:r>
          </w:p>
        </w:tc>
        <w:tc>
          <w:tcPr>
            <w:tcW w:type="dxa" w:w="5944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Detected increase followed by a sustained zero-compatible tail</w:t>
            </w:r>
          </w:p>
        </w:tc>
      </w:tr>
    </w:tbl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 w:val="0"/>
          <w:color w:val="444444"/>
          <w:sz w:val="18"/>
        </w:rPr>
        <w:t>A ‘Yes’ is the formal derivative-defined classification: the immediately preceding point has an interval wholly above zero, the next contains zero, and every later interval through the recorded maximum remains zero-compatible. Endpoint derivatives and 95% confidence intervals are on each model’s linear-predictor scale, in model-scale units per hour of civil photoperiod.</w:t>
      </w:r>
    </w:p>
    <w:p>
      <w:pPr>
        <w:keepNext w:val="0"/>
        <w:keepLines/>
        <w:spacing w:before="160" w:after="0" w:line="240" w:lineRule="auto"/>
        <w:ind w:firstLine="0"/>
        <w:jc w:val="left"/>
      </w:pPr>
      <w:r>
        <w:rPr>
          <w:rFonts w:ascii="Arial" w:hAnsi="Arial"/>
          <w:b/>
          <w:i w:val="0"/>
          <w:color w:val="333333"/>
          <w:sz w:val="20"/>
        </w:rPr>
        <w:t>Supplementary Table S8.</w:t>
      </w:r>
      <w:r>
        <w:rPr>
          <w:rFonts w:ascii="Arial" w:hAnsi="Arial"/>
          <w:b w:val="0"/>
          <w:i w:val="0"/>
          <w:color w:val="333333"/>
          <w:sz w:val="20"/>
        </w:rPr>
        <w:t xml:space="preserve"> Derivative-based classifications for nine near-eye personal light-exposure metrics across the observed civil-photoperiod range. A qualifying transition required the preceding fitted-slope interval to be wholly above zero, the next interval to include zero and every later interval through the recorded maximum to remain zero-compatible. These classifications are descriptive and do not identify a physiological or environmental ceiling.</w:t>
      </w:r>
    </w:p>
    <w:sectPr w:rsidR="00597312" w:rsidRPr="00791F7F" w:rsidSect="0000781E">
      <w:footerReference w:type="even" r:id="rId8"/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