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1. Participant and measurement characteristics</w:t>
      </w:r>
    </w:p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 w:val="0"/>
          <w:i w:val="0"/>
          <w:color w:val="333333"/>
          <w:sz w:val="20"/>
        </w:rPr>
        <w:t xml:space="preserve"> Table 1: Participant and measurement characteristics overall and by country-coded study site. The table distinguishes the 191-person roster, participants and participant-days with recorded light data, and the screened near-eye and complementary chest samples. Model-specific samples are reported with each analysis. Of the 191 roster participants, 184 contributed the 1,478 recorded participant-days. Continuous participant characteristics are median with the stated percentile range. 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021"/>
        <w:gridCol w:w="1223"/>
        <w:gridCol w:w="1223"/>
        <w:gridCol w:w="1223"/>
        <w:gridCol w:w="1223"/>
        <w:gridCol w:w="1223"/>
        <w:gridCol w:w="1223"/>
        <w:gridCol w:w="1223"/>
        <w:gridCol w:w="1223"/>
        <w:gridCol w:w="1223"/>
        <w:gridCol w:w="1223"/>
      </w:tblGrid>
      <w:tr>
        <w:trPr>
          <w:cantSplit/>
          <w:tblHeader/>
        </w:trPr>
        <w:tc>
          <w:tcPr>
            <w:tcW w:type="dxa" w:w="3021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88CCEE"/>
                <w:sz w:val="20"/>
              </w:rPr>
              <w:t>Borås (SE)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117733"/>
                <w:sz w:val="20"/>
              </w:rPr>
              <w:t>Delft (NL)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Dortmund (DE)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Tübingen (DE)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DDCC77"/>
                <w:sz w:val="20"/>
              </w:rPr>
              <w:t>Munich (DE)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CC6677"/>
                <w:sz w:val="20"/>
              </w:rPr>
              <w:t>Madrid (ES)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2288"/>
                <w:sz w:val="20"/>
              </w:rPr>
              <w:t>Izmir (TR)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44AA99"/>
                <w:sz w:val="20"/>
              </w:rPr>
              <w:t>San José (CR)</w:t>
            </w:r>
          </w:p>
        </w:tc>
        <w:tc>
          <w:tcPr>
            <w:tcW w:type="dxa" w:w="122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AA4499"/>
                <w:sz w:val="20"/>
              </w:rPr>
              <w:t>Kumasi (GH)</w:t>
            </w:r>
          </w:p>
        </w:tc>
      </w:tr>
      <w:tr>
        <w:trPr>
          <w:cantSplit/>
        </w:trPr>
        <w:tc>
          <w:tcPr>
            <w:tcW w:type="dxa" w:w="15250"/>
            <w:gridSpan w:val="11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 specifics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Institution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Overall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RISE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THUAS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BAuA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MPI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TUM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FUSPCEU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IZTECH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UCR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KNUST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Country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Sweden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Netherlands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Germany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Germany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Germany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Spain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Türkiye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Costa Rica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Ghana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City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Borås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Delft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Dortmund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Tübingen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Munich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Madrid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Izmir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San José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Kumasi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Coordinates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57.7°N, 12.9°E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52.0°N, 4.4°E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51.5°N, 7.4°E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48.5°N, 9.1°E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48.1°N, 11.6°E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40.4°N, 3.7°W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38.3°N, 26.6°E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9.9°N, 84.1°W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6.7°N, 1.6°W</w:t>
            </w:r>
          </w:p>
        </w:tc>
      </w:tr>
      <w:tr>
        <w:trPr>
          <w:cantSplit/>
        </w:trPr>
        <w:tc>
          <w:tcPr>
            <w:tcW w:type="dxa" w:w="15250"/>
            <w:gridSpan w:val="11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Data collection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1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191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g:143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c:157; p:116)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g:14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c:17; p:14)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20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g:13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c:15; p:13)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24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g:19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c:22; p:19)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26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g:26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c:0; p:0)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10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g:10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c:10; p:10)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23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g:23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c:22; p:22)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g:17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c:17; p:17)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39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g:6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c:39; p:6)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g:15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; c:15; p:15)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1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1478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(g:1134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c:1246; p:902)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137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c:137; p:107)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125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c:124; p:106)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176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(g:145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c:163; p:132)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208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(g:208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c:0; p:0)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80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(g:80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c:80; p:80)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182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(g:182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c:174; p:174)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138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(g:138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c:138; p:138)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312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(g:48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c:312; p:48)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120 roster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(g:119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c:118; p:117)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 time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2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116w 4d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11w 23h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11w 23h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15w 2d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21w 3d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8w 4d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18w 3d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14w 3d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4w 4d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11w 4d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Declared non-wear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2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g:4w 1d (3.66%)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g:2d 14h (3.34%)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g:3d 1h (3.92%)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g:3d 15h (3.42%)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g:6d 10h (4.30%)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g:2d 17h (4.55%)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g:2d 20h (2.20%)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g:3d 3h (3.13%)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g:1d 11h (4.66%)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g:3d 21h (4.80%)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Screened days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1,3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g:816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c:902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c:96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g:78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c:93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g:107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c:114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g:150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c:0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g:60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c:60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g:129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c:123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g:101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c:102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g:32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c:230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g:81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c:84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Civil photoperiod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4,2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13.25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(10.62–18.20)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(n=1478 d)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14.81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(11.80–20.49)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(n=137 d)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14.00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(11.88–18.09)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(n=125 d)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17.88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(11.76–18.22)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(n=176 d)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12.07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(10.55–15.41)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(n=208 d)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17.20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(16.45–17.45)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(n=80 d)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11.01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(10.35–12.22)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(n=182 d)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13.13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(10.52–15.57)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(n=138 d)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13.34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(13.01–13.47)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(n=312 d)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12.54 h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(12.49–12.68)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(n=120 d)</w:t>
            </w:r>
          </w:p>
        </w:tc>
      </w:tr>
      <w:tr>
        <w:trPr>
          <w:cantSplit/>
        </w:trPr>
        <w:tc>
          <w:tcPr>
            <w:tcW w:type="dxa" w:w="15250"/>
            <w:gridSpan w:val="11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information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4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28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(21 y–52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(n=191 N)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38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(22.6 y–64.8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 N)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30.5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(19.9 y–57.1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(n=20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35.5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(20.1 y–58.5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(n=24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27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(22 y–37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(n=26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27.5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(22.2 y–29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(n=10 N)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31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(20.2 y–54.3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(n=23 N)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24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(21 y–29.6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 N)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34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(22 y–48.1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(n=39 N)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23 y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(20.1 y–25 y)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 N)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Sex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5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F:105 / M:86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(n=191)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F:6 / M:11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F:8 / M:12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(n=20)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F:13 / M:11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(n=24)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F:14 / M:12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(n=26)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F:6 / M:4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(n=10)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F:15 / M:8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(n=23)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F:11 / M:6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F:24 / M:15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(n=39)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F:8 / M:7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Employment status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6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F:163 / P:26 / N:2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(n=191)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F:16 / P:0 / N:1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F:11 / P:9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(n=20)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F:21 / P:3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(n=24)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F:23 / P:3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(n=26)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F:9 / P:1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(n=10)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F:21 / P:2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(n=23)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F:15 / P:2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F:34 / P:5 / N:0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(n=39)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F:13 / P:1 / N:1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Chronotype group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7</w:t>
            </w:r>
          </w:p>
        </w:tc>
        <w:tc>
          <w:tcPr>
            <w:tcW w:type="dxa" w:w="122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m:62 / i:94 / e:30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(n=186)</w:t>
            </w:r>
          </w:p>
        </w:tc>
        <w:tc>
          <w:tcPr>
            <w:tcW w:type="dxa" w:w="1223"/>
            <w:vAlign w:val="center"/>
            <w:shd w:fill="F9FCFE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m:8 / i:4 / e:5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F3F8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m:3 / i:9 / e:3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m:8 / i:13 / e:3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(n=24)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m:9 / i:9 / e:8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(n=26)</w:t>
            </w:r>
          </w:p>
        </w:tc>
        <w:tc>
          <w:tcPr>
            <w:tcW w:type="dxa" w:w="1223"/>
            <w:vAlign w:val="center"/>
            <w:shd w:fill="FDFC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m:0 / i:8 / e:2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(n=10)</w:t>
            </w:r>
          </w:p>
        </w:tc>
        <w:tc>
          <w:tcPr>
            <w:tcW w:type="dxa" w:w="1223"/>
            <w:vAlign w:val="center"/>
            <w:shd w:fill="FCF7F8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m:5 / i:17 / e:1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(n=23)</w:t>
            </w:r>
          </w:p>
        </w:tc>
        <w:tc>
          <w:tcPr>
            <w:tcW w:type="dxa" w:w="1223"/>
            <w:vAlign w:val="center"/>
            <w:shd w:fill="F5F4F9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m:2 / i:10 / e:5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(n=17)</w:t>
            </w:r>
          </w:p>
        </w:tc>
        <w:tc>
          <w:tcPr>
            <w:tcW w:type="dxa" w:w="1223"/>
            <w:vAlign w:val="center"/>
            <w:shd w:fill="F6FB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m:16 / i:20 / e:3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(n=39)</w:t>
            </w:r>
          </w:p>
        </w:tc>
        <w:tc>
          <w:tcPr>
            <w:tcW w:type="dxa" w:w="1223"/>
            <w:vAlign w:val="center"/>
            <w:shd w:fill="FBF6FA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m:11 / i:4 / e:0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(n=15)</w:t>
            </w:r>
          </w:p>
        </w:tc>
      </w:tr>
      <w:tr>
        <w:trPr>
          <w:cantSplit/>
        </w:trPr>
        <w:tc>
          <w:tcPr>
            <w:tcW w:type="dxa" w:w="302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Sleep-corrected midsleep on free days</w:t>
            </w:r>
            <w:r>
              <w:rPr>
                <w:rFonts w:ascii="Arial" w:hAnsi="Arial"/>
                <w:b w:val="0"/>
                <w:i/>
                <w:color w:val="333333"/>
                <w:sz w:val="16"/>
                <w:vertAlign w:val="superscript"/>
              </w:rPr>
              <w:t>4,8</w:t>
            </w:r>
          </w:p>
        </w:tc>
        <w:tc>
          <w:tcPr>
            <w:tcW w:type="dxa" w:w="1223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04:03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(02:08–06:15)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(n=185 N)</w:t>
            </w:r>
          </w:p>
        </w:tc>
        <w:tc>
          <w:tcPr>
            <w:tcW w:type="dxa" w:w="1223"/>
            <w:vAlign w:val="center"/>
            <w:shd w:fill="F0F4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02:55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(02:04–05:09)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 N)</w:t>
            </w:r>
          </w:p>
        </w:tc>
        <w:tc>
          <w:tcPr>
            <w:tcW w:type="dxa" w:w="1223"/>
            <w:vAlign w:val="center"/>
            <w:shd w:fill="EBF0EC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04:31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(03:05–05:37)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03:47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(02:17–04:49)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(n=24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04:33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(02:41–06:04)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(n=26 N)</w:t>
            </w:r>
          </w:p>
        </w:tc>
        <w:tc>
          <w:tcPr>
            <w:tcW w:type="dxa" w:w="1223"/>
            <w:vAlign w:val="center"/>
            <w:shd w:fill="F5F4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05:08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(04:12–06:04)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(n=10 N)</w:t>
            </w:r>
          </w:p>
        </w:tc>
        <w:tc>
          <w:tcPr>
            <w:tcW w:type="dxa" w:w="1223"/>
            <w:vAlign w:val="center"/>
            <w:shd w:fill="F4EF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04:48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(03:10–06:52)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(n=22 N)</w:t>
            </w:r>
          </w:p>
        </w:tc>
        <w:tc>
          <w:tcPr>
            <w:tcW w:type="dxa" w:w="1223"/>
            <w:vAlign w:val="center"/>
            <w:shd w:fill="ECEBF0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05:29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(03:35–06:49)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(n=17 N)</w:t>
            </w:r>
          </w:p>
        </w:tc>
        <w:tc>
          <w:tcPr>
            <w:tcW w:type="dxa" w:w="1223"/>
            <w:vAlign w:val="center"/>
            <w:shd w:fill="EDF2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03:42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(02:17–05:31)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(n=39 N)</w:t>
            </w:r>
          </w:p>
        </w:tc>
        <w:tc>
          <w:tcPr>
            <w:tcW w:type="dxa" w:w="1223"/>
            <w:vAlign w:val="center"/>
            <w:shd w:fill="F2EDF1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02:19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(01:22–03:25)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808080"/>
                <w:sz w:val="18"/>
              </w:rPr>
              <w:t>(n=15 N)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1</w:t>
      </w:r>
      <w:r>
        <w:rPr>
          <w:rFonts w:ascii="Arial" w:hAnsi="Arial"/>
          <w:b w:val="0"/>
          <w:i w:val="0"/>
          <w:color w:val="444444"/>
          <w:sz w:val="18"/>
        </w:rPr>
        <w:t xml:space="preserve"> g, near-eye glasses position; c, complementary chest position; p, paired common sample in which the same participant-day is available at both positions.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2</w:t>
      </w:r>
      <w:r>
        <w:rPr>
          <w:rFonts w:ascii="Arial" w:hAnsi="Arial"/>
          <w:b w:val="0"/>
          <w:i w:val="0"/>
          <w:color w:val="444444"/>
          <w:sz w:val="18"/>
        </w:rPr>
        <w:t xml:space="preserve"> w: weeks; d: days; h: hours; min: minutes. Participant time and declared non-wear use eligible real minutes on screened days; both are shown for near eye only.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3</w:t>
      </w:r>
      <w:r>
        <w:rPr>
          <w:rFonts w:ascii="Arial" w:hAnsi="Arial"/>
          <w:b w:val="0"/>
          <w:i w:val="0"/>
          <w:color w:val="444444"/>
          <w:sz w:val="18"/>
        </w:rPr>
        <w:t xml:space="preserve"> Screened days are the final participant-days after the 80% completeness screen and exclusion of exact-all-zero melEDI days.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4</w:t>
      </w:r>
      <w:r>
        <w:rPr>
          <w:rFonts w:ascii="Arial" w:hAnsi="Arial"/>
          <w:b w:val="0"/>
          <w:i w:val="0"/>
          <w:color w:val="444444"/>
          <w:sz w:val="18"/>
        </w:rPr>
        <w:t xml:space="preserve"> Median (5th percentile, 95th percentile).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5</w:t>
      </w:r>
      <w:r>
        <w:rPr>
          <w:rFonts w:ascii="Arial" w:hAnsi="Arial"/>
          <w:b w:val="0"/>
          <w:i w:val="0"/>
          <w:color w:val="444444"/>
          <w:sz w:val="18"/>
        </w:rPr>
        <w:t xml:space="preserve"> Sex categories: Female and Male.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6</w:t>
      </w:r>
      <w:r>
        <w:rPr>
          <w:rFonts w:ascii="Arial" w:hAnsi="Arial"/>
          <w:b w:val="0"/>
          <w:i w:val="0"/>
          <w:color w:val="444444"/>
          <w:sz w:val="18"/>
        </w:rPr>
        <w:t xml:space="preserve"> Employment categories: Full/studying, Part/marginal, and Not employed.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7</w:t>
      </w:r>
      <w:r>
        <w:rPr>
          <w:rFonts w:ascii="Arial" w:hAnsi="Arial"/>
          <w:b w:val="0"/>
          <w:i w:val="0"/>
          <w:color w:val="444444"/>
          <w:sz w:val="18"/>
        </w:rPr>
        <w:t xml:space="preserve"> Chronotype groups follow the Morningness–Eveningness Questionnaire score.</w:t>
      </w:r>
    </w:p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/>
          <w:color w:val="444444"/>
          <w:sz w:val="16"/>
          <w:vertAlign w:val="superscript"/>
        </w:rPr>
        <w:t>8</w:t>
      </w:r>
      <w:r>
        <w:rPr>
          <w:rFonts w:ascii="Arial" w:hAnsi="Arial"/>
          <w:b w:val="0"/>
          <w:i w:val="0"/>
          <w:color w:val="444444"/>
          <w:sz w:val="18"/>
        </w:rPr>
        <w:t xml:space="preserve"> MCTQ: Munich Chronotype Questionnaire; MEQ: Morningness–Eveningness Questionnaire. Clock summaries are circular.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