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B1160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Title:  PFAS, but not Cadmium, Confounds the Stress Response in Largemouth Bass (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Micropterus nigricans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)</w:t>
      </w:r>
    </w:p>
    <w:p w14:paraId="424676C0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24468CA7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14:ligatures w14:val="none"/>
        </w:rPr>
        <w:t xml:space="preserve">Authors:  </w:t>
      </w:r>
    </w:p>
    <w:p w14:paraId="418EA188" w14:textId="762F4A85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Anthony Ryan Johnson</w:t>
      </w: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1</w:t>
      </w:r>
      <w:r w:rsidR="006152BC">
        <w:rPr>
          <w:rFonts w:ascii="Arial" w:eastAsia="Times New Roman" w:hAnsi="Arial" w:cs="Arial"/>
          <w:kern w:val="0"/>
          <w:vertAlign w:val="superscript"/>
          <w14:ligatures w14:val="none"/>
        </w:rPr>
        <w:t>*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Tyler Steven Coleman</w:t>
      </w: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2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Jasmine B. Nasser</w:t>
      </w: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3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Maggie McGreal</w:t>
      </w: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4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Kyle R. Piller</w:t>
      </w: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5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and Christopher M. Murray</w:t>
      </w: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6</w:t>
      </w:r>
    </w:p>
    <w:p w14:paraId="17D7C775" w14:textId="77777777" w:rsidR="0071739F" w:rsidRPr="00122893" w:rsidRDefault="0071739F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4C0BA04E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1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Southeastern Louisiana University, Department of Biological Sciences, Hammond, Louisiana, USA; email; ORCID 0009-0005-9381-9510</w:t>
      </w:r>
    </w:p>
    <w:p w14:paraId="7511B124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2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Southeastern Louisiana University, Department of Biological Sciences, Hammond, Louisiana, USA; </w:t>
      </w:r>
      <w:r w:rsidR="0071739F" w:rsidRPr="00122893">
        <w:rPr>
          <w:rFonts w:ascii="Arial" w:eastAsia="Times New Roman" w:hAnsi="Arial" w:cs="Arial"/>
          <w:color w:val="000000"/>
          <w:kern w:val="0"/>
          <w14:ligatures w14:val="none"/>
        </w:rPr>
        <w:t>tscoleman3@gmail.com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; ORCID 0000-0001-7472-1976</w:t>
      </w:r>
    </w:p>
    <w:p w14:paraId="42C5A5FE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3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Southeastern Louisiana University, Department of Biological Sciences, Hammond, Louisiana, USA; email; ORCID 0009-0003-0083-9498</w:t>
      </w:r>
    </w:p>
    <w:p w14:paraId="337DDB1D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4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Southeastern Louisiana University, Department of Biological Sciences, Hammond, Louisiana, USA; email; ORCID 0009-0005-9745-8265</w:t>
      </w:r>
    </w:p>
    <w:p w14:paraId="7E4BB934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5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Southeastern Louisiana University, Department of Biological Sciences, Hammond, Louisiana, USA; email; ORCID 0000-0003-1289-9351</w:t>
      </w:r>
    </w:p>
    <w:p w14:paraId="3A0CFFA5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kern w:val="0"/>
          <w:vertAlign w:val="superscript"/>
          <w14:ligatures w14:val="none"/>
        </w:rPr>
        <w:t>6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Southeastern Louisiana University, Department of Biological Sciences, Hammond, Louisiana, USA;</w:t>
      </w:r>
      <w:r w:rsidR="00122893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spellStart"/>
      <w:r w:rsidR="00122893" w:rsidRPr="00122893">
        <w:rPr>
          <w:rFonts w:ascii="Arial" w:eastAsia="Times New Roman" w:hAnsi="Arial" w:cs="Arial"/>
          <w:color w:val="000000"/>
          <w:kern w:val="0"/>
          <w14:ligatures w14:val="none"/>
        </w:rPr>
        <w:t>LimnoTerra</w:t>
      </w:r>
      <w:proofErr w:type="spellEnd"/>
      <w:r w:rsidR="00122893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LLC., Division of Science, Springfield, Louisiana, USA;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email; ORCID 0000-0003-4500-9052</w:t>
      </w:r>
    </w:p>
    <w:p w14:paraId="1FB82B3E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775FBC3E" w14:textId="77777777" w:rsidR="0071739F" w:rsidRPr="00122893" w:rsidRDefault="0071739F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*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Corresponding author</w:t>
      </w:r>
    </w:p>
    <w:p w14:paraId="2EC584BF" w14:textId="77777777" w:rsidR="0071739F" w:rsidRPr="00122893" w:rsidRDefault="0071739F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6A824E5A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Keywords:</w:t>
      </w:r>
    </w:p>
    <w:p w14:paraId="2404D107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Leukocyte Profiles, Perfluoropentanoic Acid, Cadmium, Largemouth Bass, Per- Polyfluoroalkyl Substances, Stress</w:t>
      </w:r>
    </w:p>
    <w:p w14:paraId="67D3B675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00B9A32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Abstract:</w:t>
      </w:r>
    </w:p>
    <w:p w14:paraId="18273507" w14:textId="77777777" w:rsidR="00122893" w:rsidRDefault="00122893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Informative physiological biomarkers for organismal and population health are critical to effective conservation implementation and comparative study. Immune, endocrine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or performance-based response variable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are commonly used in natural systems to test hypotheses regarding anthropogenic change.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However, a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nthropogenic disturbances involving the release of toxic substances into aquatic environments can adversely affect the immune, endocrine, and nervous systems of vertebrates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confound testing of alternative hypotheses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 In this study, we investigated the effects of perfluoropentanoic acid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), a member of the PFAS chemical group, and 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admium (Cd)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on baseline leukocyte profiles in largemouth bass (</w:t>
      </w:r>
      <w:r w:rsidRPr="00292FF5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Micropterus nigricans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) using the neutrophil-to-lymphocyte ratio (NLR) as a proxy for stress under controlled laboratory conditions. Additionally, we evaluated the potential interaction of these substances with the vertebrate stress response following exposure to a suspected stressor (e.g., an abrupt increase in salinity). We designated fish into five groups: control, Cd low (0.034 ppm), Cd high (0.34 ppm),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low (3.4 mg/L), and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high (34 mg/L). We collected blood samples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i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) after a 48-hour acclimation period, ii) after treatments were applied, iii) shortly after exposure to an environmental stressor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iv) one week after exposure to the stressor. Results suggest that high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levels, but not Cd, impact the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leukocyte profile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response in largemouth bass. This study has implications for understanding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confounding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ffects of ecotoxin exposure on stress-based comparative physiology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PFAS toxicity in the context of climate change and saltwater intrusion. The NLR is identified as a robust proxy for stress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exhibits conservation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across vertebrate taxa; therefore, the feasibility of predicting a similar response in other aquatic taxa remains.</w:t>
      </w:r>
    </w:p>
    <w:p w14:paraId="3329FE3F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D0B9345" w14:textId="77777777" w:rsidR="009B7318" w:rsidRPr="00122893" w:rsidRDefault="0045522C" w:rsidP="00122893">
      <w:pPr>
        <w:spacing w:line="480" w:lineRule="auto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1. </w:t>
      </w:r>
      <w:r w:rsidR="00292FF5"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Introduction</w:t>
      </w:r>
    </w:p>
    <w:p w14:paraId="701DBCD8" w14:textId="77777777" w:rsidR="00AF634C" w:rsidRDefault="00AF634C" w:rsidP="00AF634C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Th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impacts of human disturbance on aquatic environments are widespread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 numerous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well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documented </w:t>
      </w:r>
      <w:hyperlink r:id="rId4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(Gangloff et al., 2016;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Sabater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2018)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Biologists and conservationists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use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physiological metrics to assess the degree of damage, organismal responses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natural impacts of localized and widespread perturbations on vertebrate populations (XXXX). Metrics such as comparative leukocyte profiles (XXXX), endocrine markers (XXXX)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relative performance (XXXX) are utilized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evaluate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disturbance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aquatic systems. While the lack of physiological independence among these response variables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offer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 logistic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ease and comparative utility to other studies (XXXX),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absence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autonomy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in perturbations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confounds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results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hinders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comparison. For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exampl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e, assessing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ffects of saltwater intrusion on alligator stress proxies among natural populations (Murray et al. XXXX) may be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confounded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by variation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in pollutant exposure among sites. </w:t>
      </w:r>
    </w:p>
    <w:p w14:paraId="3FE29132" w14:textId="14C8CAC5" w:rsidR="00AF634C" w:rsidRDefault="00AF634C" w:rsidP="00AF634C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H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uman activities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such as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mining, agriculture, industrialization, and urbanization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have increased the presence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diversity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of soil and groundwater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xenobiotic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contamina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tion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hyperlink r:id="rId5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(Ritter</w:t>
        </w:r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</w:t>
        </w:r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2002; K. S. Murray et al., 2004; Cannon &amp; Hor</w:t>
        </w:r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t</w:t>
        </w:r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on, 2009; Santana et al., 2020)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Heavy metals and synthetic compounds frequently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affect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aquatic systems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to varying degrees and in varying combinations (XXXX). Heavy metals are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naturally occurring element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in the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arth’s crust and oceans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but can be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carcinogenic, non-essential metal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with no known biological function </w:t>
      </w:r>
      <w:hyperlink r:id="rId6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Kubier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2019)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Despite efforts to limit and regulate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heavy metal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contamination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over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the last decade </w:t>
      </w:r>
      <w:hyperlink r:id="rId7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(Marini et al., 2020)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these natural toxins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persist in our aquatic environments and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continue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to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progress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within aquatic food webs </w:t>
      </w:r>
      <w:hyperlink r:id="rId8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(Croteau et al., 2005)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Humans have intentionally and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unintentionally released synthetic chemicals into natural systems, exposing organisms to adverse effects. For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exampl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e, </w:t>
      </w:r>
      <w:r w:rsidRPr="00AF634C">
        <w:rPr>
          <w:rFonts w:ascii="Arial" w:eastAsia="Times New Roman" w:hAnsi="Arial" w:cs="Arial"/>
          <w:color w:val="000000"/>
          <w:kern w:val="0"/>
          <w14:ligatures w14:val="none"/>
        </w:rPr>
        <w:t>dichloro-diphenyl-trichloroethane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(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DDT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its metabolites have been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deliberate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ly released to control pests and diseases but have also been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accident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ally released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 xml:space="preserve">(e.g.,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chemical spills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all of which are reported to cause adverse effects on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animals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hyperlink r:id="rId9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(L. J.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Guillette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2005; Milnes &amp;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Guillette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 2008)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1E90633" w14:textId="0E9C7B0D" w:rsidR="00AF634C" w:rsidRPr="00292FF5" w:rsidRDefault="00AF634C" w:rsidP="00AF634C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Unfortunately, many xenobiotic substances end up in water systems, often translocated away from the original point source. Once in the water, these toxins pose a risk to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numerous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aquatic organisms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as toxins can actively enter the body through digestion or passively through contact with skin or gills </w:t>
      </w:r>
      <w:hyperlink r:id="rId10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Subaramaniyam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2023)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xpos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ure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to xenobiotic substances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may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induce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 “stress response” in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aquatic organisms </w:t>
      </w:r>
      <w:hyperlink r:id="rId11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Hontela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1992; Wilson et al., 1998; Silvestre, 2020)</w:t>
        </w:r>
      </w:hyperlink>
      <w:r w:rsidR="00FB49AE"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which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can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result in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suppressed growth, reduced reproductive capacity, and even death </w:t>
      </w:r>
      <w:hyperlink r:id="rId12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(Pankhurst &amp; Van der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Kraak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 1997; Schreck, 2010)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he interaction between xenobiotic exposure and other exogenous stressors and their potential synergistic or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additive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ffects on stress biomarkers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 xml:space="preserve"> remains understudied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. Further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more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while xenobiotics are released into our freshwater aquatic ecosystems at unpredictabl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rate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s,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there is considerabl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e concern for freshwater fisheries management of socioeconomically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essential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fish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FB49AE">
        <w:rPr>
          <w:rFonts w:ascii="Arial" w:eastAsia="Times New Roman" w:hAnsi="Arial" w:cs="Arial"/>
          <w:color w:val="000000"/>
          <w:kern w:val="0"/>
          <w14:ligatures w14:val="none"/>
        </w:rPr>
        <w:t>species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139FC6F8" w14:textId="442EBFB7" w:rsidR="00AF634C" w:rsidRPr="00292FF5" w:rsidRDefault="00AF634C" w:rsidP="00AF634C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The largemouth bass (</w:t>
      </w:r>
      <w:r w:rsidRPr="00292FF5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Micropterus nigricans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; referred hereafter as bass; </w:t>
      </w:r>
      <w:hyperlink r:id="rId13" w:history="1"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Lacépède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, 1802;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Lesueur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 1822; Kim et al., 2022)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is a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 xml:space="preserve"> freshwater fish valued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ecologically, socioeconomically, culturally, and nutritionally worldwide. As the most sought-after and heavily managed fish in North America </w:t>
      </w:r>
      <w:hyperlink r:id="rId14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(Allen et al., 2008;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Bonvechio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2014; Carlson &amp;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Isermann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 2010; Claussen, 2015; Coleman et al., 2024)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, black basses (</w:t>
      </w:r>
      <w:r w:rsidRPr="00292FF5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Micropterus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spp.) are top-level piscivores that generate tens of billions United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States dollars annually for the U.S. economy (USDOI 2018). The native range extends from southeastern Canada to northeastern Mexico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Tringali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al., 2015; Taylor et al., 2019). Despite the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ir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mmens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e popularity and the introduction of bass to freshwater systems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worldwide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Gratwicke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Marshall, 2001; Lowe et al., 2004;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Takamura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2007;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Boucek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 2017), bass are considered one of the world’s most problematic invaders due to their trophic position and ability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to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alter the diversity and abundance of aquatic biota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Cambray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, 2003; Weyl et al., 2010; Hargrove et al., 2019)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highlight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ing the research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signific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ance of this species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Lastly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bass successfully reproduce easily (i.e.,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exhibit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high fecundity and growth rates and low mortality; Davis and Lock, 1997; Coleman et al., 2024),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facilitating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sustainable use in research.</w:t>
      </w:r>
    </w:p>
    <w:p w14:paraId="73A0D5E8" w14:textId="726C0FB8" w:rsidR="00AF634C" w:rsidRDefault="00AF634C" w:rsidP="00AF634C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Here, we investigate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interactive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effect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salt stress and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two xenobiotic ecotoxicological substances,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c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admium (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Cd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perfluoropentanoic acid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; a PFAS chemical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 xml:space="preserve"> commonly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used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in consumer products)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independently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on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leukocyte profiles 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(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 stress biomarker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 While previous studies have assessed the effects of xenobiotic substances on stress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proxies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in fishes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Hontela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al., 1992; Wilson et al., 1998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;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Seriani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al., 2015;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Corrêa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al., 2017;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Witeska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al., 2023), no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ne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have investigated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interaction between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xenobiotics and other physiological stressors in aquatic organisms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. Cd is among the environment’s most hazardous and mobile elements </w:t>
      </w:r>
      <w:hyperlink r:id="rId15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(Alloway &amp; Jackson, 1991;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Nies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, 1999, 2003;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Kubier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2019)</w:t>
        </w:r>
        <w:r w:rsidR="005765A6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</w:t>
        </w:r>
      </w:hyperlink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esearch on Cd has increased dramatically over the last 20 years </w:t>
      </w:r>
      <w:hyperlink r:id="rId16" w:history="1">
        <w:r w:rsidRPr="00292FF5">
          <w:rPr>
            <w:rFonts w:ascii="Arial" w:eastAsia="Times New Roman" w:hAnsi="Arial" w:cs="Arial"/>
            <w:color w:val="CC2936"/>
            <w:kern w:val="0"/>
            <w:u w:val="single"/>
            <w14:ligatures w14:val="none"/>
          </w:rPr>
          <w:t>(Irfan et al., 2023)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with heightened attention focused on Cd toxicity due to human health and wildlife exposure concerns </w:t>
      </w:r>
      <w:hyperlink r:id="rId17" w:history="1">
        <w:r w:rsidRPr="00292FF5">
          <w:rPr>
            <w:rFonts w:ascii="Arial" w:eastAsia="Times New Roman" w:hAnsi="Arial" w:cs="Arial"/>
            <w:color w:val="CC2936"/>
            <w:kern w:val="0"/>
            <w:u w:val="single"/>
            <w14:ligatures w14:val="none"/>
          </w:rPr>
          <w:t>(</w:t>
        </w:r>
        <w:proofErr w:type="spellStart"/>
        <w:r w:rsidRPr="00292FF5">
          <w:rPr>
            <w:rFonts w:ascii="Arial" w:eastAsia="Times New Roman" w:hAnsi="Arial" w:cs="Arial"/>
            <w:color w:val="CC2936"/>
            <w:kern w:val="0"/>
            <w:u w:val="single"/>
            <w14:ligatures w14:val="none"/>
          </w:rPr>
          <w:t>Genchi</w:t>
        </w:r>
        <w:proofErr w:type="spellEnd"/>
        <w:r w:rsidRPr="00292FF5">
          <w:rPr>
            <w:rFonts w:ascii="Arial" w:eastAsia="Times New Roman" w:hAnsi="Arial" w:cs="Arial"/>
            <w:color w:val="CC2936"/>
            <w:kern w:val="0"/>
            <w:u w:val="single"/>
            <w14:ligatures w14:val="none"/>
          </w:rPr>
          <w:t xml:space="preserve"> et al., 2020; Y. Liu et al., 2022; H. Liu et al., 2023)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proofErr w:type="spellStart"/>
      <w:r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is a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representativ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of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per- and polyfluorinated substances (referred hereafter as PFAS),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encompass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>ing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over 4,000 chemicals </w:t>
      </w:r>
      <w:r>
        <w:fldChar w:fldCharType="begin"/>
      </w:r>
      <w:r>
        <w:instrText xml:space="preserve"> HYPERLINK "https://www.zotero.org/google-docs/?AW1mol" </w:instrText>
      </w:r>
      <w:r>
        <w:fldChar w:fldCharType="separate"/>
      </w:r>
      <w:r w:rsidRPr="00292FF5">
        <w:rPr>
          <w:rFonts w:ascii="Arial" w:eastAsia="Times New Roman" w:hAnsi="Arial" w:cs="Arial"/>
          <w:color w:val="0000FF"/>
          <w:kern w:val="0"/>
          <w:u w:val="single"/>
          <w14:ligatures w14:val="none"/>
        </w:rPr>
        <w:t xml:space="preserve">(T. C. </w:t>
      </w:r>
      <w:proofErr w:type="spellStart"/>
      <w:r w:rsidRPr="00292FF5">
        <w:rPr>
          <w:rFonts w:ascii="Arial" w:eastAsia="Times New Roman" w:hAnsi="Arial" w:cs="Arial"/>
          <w:color w:val="0000FF"/>
          <w:kern w:val="0"/>
          <w:u w:val="single"/>
          <w14:ligatures w14:val="none"/>
        </w:rPr>
        <w:t>Guillette</w:t>
      </w:r>
      <w:proofErr w:type="spellEnd"/>
      <w:r w:rsidRPr="00292FF5">
        <w:rPr>
          <w:rFonts w:ascii="Arial" w:eastAsia="Times New Roman" w:hAnsi="Arial" w:cs="Arial"/>
          <w:color w:val="0000FF"/>
          <w:kern w:val="0"/>
          <w:u w:val="single"/>
          <w14:ligatures w14:val="none"/>
        </w:rPr>
        <w:t xml:space="preserve"> et al., 2020; Ma et al., 2023)</w:t>
      </w:r>
      <w:r>
        <w:rPr>
          <w:rFonts w:ascii="Arial" w:eastAsia="Times New Roman" w:hAnsi="Arial" w:cs="Arial"/>
          <w:color w:val="0000FF"/>
          <w:kern w:val="0"/>
          <w:u w:val="single"/>
          <w14:ligatures w14:val="none"/>
        </w:rPr>
        <w:fldChar w:fldCharType="end"/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 PFAS chemicals are lipophobic and hydrophobic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with resistance to degradation,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and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have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thus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been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employ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ed in a variety of industrial applications </w:t>
      </w:r>
      <w:hyperlink r:id="rId18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Abunada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2020; Buck et al., 2011; Gaines, 2023)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, resulti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ng in their prevalence in natural systems.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However, only the toxic effects of a few PFAS chemicals are well understood </w:t>
      </w:r>
      <w:hyperlink r:id="rId19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(Fenton et al., 2021)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 w:rsidR="00DC5F0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More specifically, Cd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has been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associated with negative impacts on the endocrine, immune, and nervous systems, leading to significant reductions in fitness and, in some cases, mortality </w:t>
      </w:r>
      <w:hyperlink r:id="rId20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(Liu et al., 2022)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 Like Cd, the harmful effects of several PFAS chemicals on fishes include d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y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sregulation of endocrine function </w:t>
      </w:r>
      <w:hyperlink r:id="rId21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Coperchini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2021; Nayak et al., 2023)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modulation of the immune system </w:t>
      </w:r>
      <w:hyperlink r:id="rId22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(Fang et al., 2013;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Guillette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2020)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and harm to the nervous system, altering brain function and behavior </w:t>
      </w:r>
      <w:hyperlink r:id="rId23" w:history="1"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(Starnes et al., 2022)</w:t>
        </w:r>
      </w:hyperlink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C3B1FDC" w14:textId="74140EAA" w:rsidR="00AF634C" w:rsidRPr="00292FF5" w:rsidRDefault="00AF634C" w:rsidP="00AF634C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Interest in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leukocyte profiles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as a chronic stress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biomarker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has been highlighted in the literature because, unlike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glucocorticoids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leukocyte profiles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do not attenuate when a stressor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persists chronically and are less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affect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ed by metabolic fluctuation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hyperlink r:id="rId24" w:history="1">
        <w:r>
          <w:rPr>
            <w:rFonts w:ascii="Arial" w:eastAsia="Times New Roman" w:hAnsi="Arial" w:cs="Arial"/>
            <w:color w:val="000000"/>
            <w:kern w:val="0"/>
            <w14:ligatures w14:val="none"/>
          </w:rPr>
          <w:t>(</w:t>
        </w:r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Davis et al., 2008</w:t>
        </w:r>
        <w:r>
          <w:rPr>
            <w:rFonts w:ascii="Arial" w:eastAsia="Times New Roman" w:hAnsi="Arial" w:cs="Arial"/>
            <w:color w:val="000000"/>
            <w:kern w:val="0"/>
            <w14:ligatures w14:val="none"/>
          </w:rPr>
          <w:t xml:space="preserve">; </w:t>
        </w:r>
        <w:proofErr w:type="spellStart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Goessling</w:t>
        </w:r>
        <w:proofErr w:type="spellEnd"/>
        <w:r w:rsidRPr="00292FF5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 et al., 2015)</w:t>
        </w:r>
      </w:hyperlink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Pr="003E2565">
        <w:rPr>
          <w:rFonts w:ascii="Arial" w:eastAsia="Times New Roman" w:hAnsi="Arial" w:cs="Arial"/>
          <w:color w:val="000000"/>
          <w:kern w:val="0"/>
          <w14:ligatures w14:val="none"/>
        </w:rPr>
        <w:t xml:space="preserve">Understanding chronic stress in an organism is critical for conservation and management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since</w:t>
      </w:r>
      <w:r w:rsidRPr="003E2565">
        <w:rPr>
          <w:rFonts w:ascii="Arial" w:eastAsia="Times New Roman" w:hAnsi="Arial" w:cs="Arial"/>
          <w:color w:val="000000"/>
          <w:kern w:val="0"/>
          <w14:ligatures w14:val="none"/>
        </w:rPr>
        <w:t xml:space="preserve"> persistently stressful conditions could negatively i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mpact</w:t>
      </w:r>
      <w:r w:rsidRPr="003E2565">
        <w:rPr>
          <w:rFonts w:ascii="Arial" w:eastAsia="Times New Roman" w:hAnsi="Arial" w:cs="Arial"/>
          <w:color w:val="000000"/>
          <w:kern w:val="0"/>
          <w14:ligatures w14:val="none"/>
        </w:rPr>
        <w:t xml:space="preserve"> all life stages and increase mortality (</w:t>
      </w:r>
      <w:proofErr w:type="spellStart"/>
      <w:r w:rsidRPr="003E2565">
        <w:rPr>
          <w:rFonts w:ascii="Arial" w:eastAsia="Times New Roman" w:hAnsi="Arial" w:cs="Arial"/>
          <w:color w:val="000000"/>
          <w:kern w:val="0"/>
          <w14:ligatures w14:val="none"/>
        </w:rPr>
        <w:t>Tokarz</w:t>
      </w:r>
      <w:proofErr w:type="spellEnd"/>
      <w:r w:rsidRPr="003E256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Summers, 2011).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Thus, leukocyte profiles have been u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tiliz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ed to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examine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ffects of riparian landscape alteration, hydrology, and storm surge (</w:t>
      </w:r>
      <w:proofErr w:type="spellStart"/>
      <w:r>
        <w:rPr>
          <w:rFonts w:ascii="Arial" w:eastAsia="Times New Roman" w:hAnsi="Arial" w:cs="Arial"/>
          <w:color w:val="000000"/>
          <w:kern w:val="0"/>
          <w14:ligatures w14:val="none"/>
        </w:rPr>
        <w:t>Litmer</w:t>
      </w:r>
      <w:proofErr w:type="spellEnd"/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et al. XXXX; Murray et al. XXXX) on vertebrate stress.</w:t>
      </w:r>
    </w:p>
    <w:p w14:paraId="0342416C" w14:textId="14AF7709" w:rsidR="00AF634C" w:rsidRDefault="00AF634C" w:rsidP="00AF634C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specific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objectives of our study were to (1) examine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whether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varying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concentrations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of Cd or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exposure induce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changes in neutrophil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to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lymphocyte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ratios (NLR)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(2) investigate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whether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Cd or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increase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NLR</w:t>
      </w:r>
      <w:r w:rsidRPr="00292FF5" w:rsidDel="00736EE9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when interacting with an abruptly introduced environmental stressor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(salt)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, and (3) assess differences in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NLR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among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fish exposed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Cd or </w:t>
      </w:r>
      <w:proofErr w:type="spellStart"/>
      <w:r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after e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xperienc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ing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 salt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stressor. We hypothesize that exposure to Cd or 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will result in elevated NLR values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particularly in groups receiving higher doses of each toxin. Furthermore, we expect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NLR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to be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highest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for all fish 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following exposure to an abruptly introduced environmental stressor (Figure 1). Understanding how xenobiotic substances affect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aquatic organisms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is critical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for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the conservation and management of freshwater ecosystems worldwide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elucidates 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interacting effects of xenobiotics and other hypothesized stressors that must be considered when practicing </w:t>
      </w:r>
      <w:r>
        <w:rPr>
          <w:rFonts w:ascii="Arial" w:eastAsia="Times New Roman" w:hAnsi="Arial" w:cs="Arial"/>
          <w:i/>
          <w:color w:val="000000"/>
          <w:kern w:val="0"/>
          <w14:ligatures w14:val="none"/>
        </w:rPr>
        <w:t xml:space="preserve">in situ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conservation physiology.</w:t>
      </w:r>
    </w:p>
    <w:p w14:paraId="16B5E752" w14:textId="77777777" w:rsidR="0045522C" w:rsidRPr="00122893" w:rsidRDefault="0045522C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5B77F992" w14:textId="77777777" w:rsidR="0045522C" w:rsidRPr="00122893" w:rsidRDefault="0045522C" w:rsidP="00122893">
      <w:pPr>
        <w:spacing w:line="48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2. </w:t>
      </w:r>
      <w:r w:rsidR="00292FF5"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Materials and Methods</w:t>
      </w:r>
    </w:p>
    <w:p w14:paraId="24AE4C81" w14:textId="77777777" w:rsidR="0045522C" w:rsidRPr="00122893" w:rsidRDefault="0045522C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2.1 </w:t>
      </w:r>
      <w:r w:rsidR="00292FF5"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Aquaculture Tank Design</w:t>
      </w:r>
    </w:p>
    <w:p w14:paraId="4DB9AB02" w14:textId="46596DB7" w:rsidR="0045522C" w:rsidRPr="00122893" w:rsidRDefault="00292FF5" w:rsidP="00122893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We assembled 15-37.9 liter (L) rectangular tanks on three shelves, </w:t>
      </w:r>
      <w:r w:rsidR="00052E17">
        <w:rPr>
          <w:rFonts w:ascii="Arial" w:eastAsia="Times New Roman" w:hAnsi="Arial" w:cs="Arial"/>
          <w:color w:val="000000"/>
          <w:kern w:val="0"/>
          <w14:ligatures w14:val="none"/>
        </w:rPr>
        <w:t xml:space="preserve">with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five tanks per row (Figure 2). We positioned opaque barriers on the elongated sides of each tank and</w:t>
      </w:r>
      <w:r w:rsidR="00052E17">
        <w:rPr>
          <w:rFonts w:ascii="Arial" w:eastAsia="Times New Roman" w:hAnsi="Arial" w:cs="Arial"/>
          <w:color w:val="000000"/>
          <w:kern w:val="0"/>
          <w14:ligatures w14:val="none"/>
        </w:rPr>
        <w:t xml:space="preserve"> placed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 fine mesh cover on top. We filled each tank with 34.6 L of tap water treated with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Seachem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Prime concentrated conditioner</w:t>
      </w:r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 (</w:t>
      </w:r>
      <w:proofErr w:type="spellStart"/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>Seachem</w:t>
      </w:r>
      <w:proofErr w:type="spellEnd"/>
      <w:r w:rsidR="005765A6">
        <w:rPr>
          <w:rFonts w:ascii="Arial" w:eastAsia="Times New Roman" w:hAnsi="Arial" w:cs="Arial"/>
          <w:color w:val="000000"/>
          <w:kern w:val="0"/>
          <w14:ligatures w14:val="none"/>
        </w:rPr>
        <w:t xml:space="preserve"> Laboratories, Madison, GA, USA)</w:t>
      </w:r>
      <w:r w:rsidR="00052E17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and placed 25</w:t>
      </w:r>
      <w:r w:rsidR="0045522C" w:rsidRPr="00122893"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millimeter (mm) bubblers in each (multiport air pump; Aquatic Ecosystems Inc., Apopka, FL, USA). We kept the room at a constant low-indirect-light condition throughout the study. Lastly, we assigned each tank to one of five groups—control, Cd low 0.034 ppm, Cd high 0.34 ppm,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low 3.4 mg/L,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high 34 mg/L—with three replicates per group</w:t>
      </w:r>
      <w:r w:rsidR="00052E17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using a random number generator (Figure 2).</w:t>
      </w:r>
    </w:p>
    <w:p w14:paraId="724D5A90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1C984039" w14:textId="77777777" w:rsidR="0045522C" w:rsidRPr="00122893" w:rsidRDefault="0045522C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2.2 </w:t>
      </w:r>
      <w:r w:rsidR="00292FF5"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Experimental Timeline</w:t>
      </w:r>
    </w:p>
    <w:p w14:paraId="7DB6CB5A" w14:textId="77777777" w:rsidR="00991BBD" w:rsidRDefault="00292FF5" w:rsidP="00122893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Our study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la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sted for 22 days (Figure 2). On day 1, the Louisiana Department of Wildlife and Fisheries (LDWF) supplied bass collected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through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boat electrofishing from holding ponds at the Huey P. Long Fish Hatchery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in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Lacombe, Louisiana, USA. The LDWF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prompt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ly transferred the bass in their boat’s aerated livewell to Southeastern Louisiana University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in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Hammond, Louisiana, USA.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Upo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n arrival, we recorded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the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total length (TL) and weight (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Wt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) of 15 bass. We then placed each of these 15 bass into their own 37.9 L tank (aquaculture design described above; Figure 2). After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recording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TL and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Wt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and plac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ing the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fish in individual tanks on day 1, we allowed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for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 two-day acclimation period. On day 3, we collected the first blood sample from the caudal vein of each fish within 3 minutes of handling—minimizing any effect of newly induced anthropogenic stress—using a 1 mL syringe and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a </w:t>
      </w:r>
      <w:r w:rsidR="0045522C" w:rsidRPr="00122893">
        <w:rPr>
          <w:rFonts w:ascii="Arial" w:eastAsia="Times New Roman" w:hAnsi="Arial" w:cs="Arial"/>
          <w:color w:val="000000"/>
          <w:kern w:val="0"/>
          <w14:ligatures w14:val="none"/>
        </w:rPr>
        <w:t>25-gauge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needle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and re-recorded TL and Wt. On day 8, we partially changed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the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water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in each tank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using a DEKO Tools water pump (model CSP9028) to maintain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optimal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water conditions. </w:t>
      </w:r>
    </w:p>
    <w:p w14:paraId="17E49291" w14:textId="4773FB46" w:rsidR="00292FF5" w:rsidRPr="00122893" w:rsidRDefault="00292FF5" w:rsidP="00122893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To examine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whether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differing levels of Cd or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alter baseline NLR (objective 1), we applied low and high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concentrations of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Cd (0.034 ppm and 0.34 ppm, respectively) and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(3.4 mg/L and 34 mg/L, respectively; Sigma Aldrich, Darmstadt, Germany) directly to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water on day 10, while the control tanks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remained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undisturbed. On day 14, after four days of treatment exposure, we collected TL,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Wt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and a second blood sample. Furthermore, to evaluate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whether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treatment exposure would cause an altered stress response with a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n increase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in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>salinity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(objective 2), we abruptly changed</w:t>
      </w:r>
      <w:r w:rsidR="007A6340">
        <w:rPr>
          <w:rFonts w:ascii="Arial" w:eastAsia="Times New Roman" w:hAnsi="Arial" w:cs="Arial"/>
          <w:color w:val="000000"/>
          <w:kern w:val="0"/>
          <w14:ligatures w14:val="none"/>
        </w:rPr>
        <w:t xml:space="preserve"> the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water salinity in all tanks from 0 ppt to </w:t>
      </w:r>
      <w:r w:rsidR="00991BBD" w:rsidRPr="00122893">
        <w:rPr>
          <w:rFonts w:ascii="Arial" w:eastAsia="Times New Roman" w:hAnsi="Arial" w:cs="Arial"/>
          <w:color w:val="000000"/>
          <w:kern w:val="0"/>
          <w14:ligatures w14:val="none"/>
        </w:rPr>
        <w:t>approximatel</w:t>
      </w:r>
      <w:r w:rsidR="00991BBD">
        <w:rPr>
          <w:rFonts w:ascii="Arial" w:eastAsia="Times New Roman" w:hAnsi="Arial" w:cs="Arial"/>
          <w:color w:val="000000"/>
          <w:kern w:val="0"/>
          <w14:ligatures w14:val="none"/>
        </w:rPr>
        <w:t xml:space="preserve">y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5 ppt on day 15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(Figure 2; Figure 3). Three hours after salt introduction, we collected TL,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Wt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and a third blood sample. On day 22, 12 days post-treatment and 7 days post-salt, we collected a final blood sample and euthanized all bass using MS-222.</w:t>
      </w:r>
    </w:p>
    <w:p w14:paraId="36D77F92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0445D50A" w14:textId="61535DC8" w:rsidR="0045522C" w:rsidRPr="00122893" w:rsidRDefault="00292FF5" w:rsidP="00122893">
      <w:pPr>
        <w:spacing w:line="480" w:lineRule="auto"/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2.3. Neutrophil</w:t>
      </w:r>
      <w:r w:rsidR="00991BBD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-to-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Lymphocyte Ratio</w:t>
      </w:r>
    </w:p>
    <w:p w14:paraId="060AA1AD" w14:textId="5A076965" w:rsidR="00292FF5" w:rsidRPr="00122893" w:rsidRDefault="00292FF5" w:rsidP="00122893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After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collecting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each blood sample, we immediately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prepared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blood smears using approximately 5-10 µl of whole blood on standard glass microscope slides (75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x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25 mm; 1 mm thick) with a two-slide wedge method </w:t>
      </w:r>
      <w:hyperlink r:id="rId25" w:history="1">
        <w:r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Houwen</w:t>
        </w:r>
        <w:proofErr w:type="spellEnd"/>
        <w:r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 2002; C. M. Murray et al., 2013)</w:t>
        </w:r>
      </w:hyperlink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Once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smears air-dried, we fixed and stained them with Giemsa-Wright (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Fisherbrand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Pittsburgh, PA, USA).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Subsequently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, we examined the blood smears under light microscopy using 40X magnification to identify the first 100 leukocytes and calculated the NLR by dividing the observed lymphocyte</w:t>
      </w:r>
      <w:r w:rsidR="00052E17">
        <w:rPr>
          <w:rFonts w:ascii="Arial" w:eastAsia="Times New Roman" w:hAnsi="Arial" w:cs="Arial"/>
          <w:color w:val="000000"/>
          <w:kern w:val="0"/>
          <w14:ligatures w14:val="none"/>
        </w:rPr>
        <w:t xml:space="preserve"> count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by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neutrophil</w:t>
      </w:r>
      <w:r w:rsidR="00052E17">
        <w:rPr>
          <w:rFonts w:ascii="Arial" w:eastAsia="Times New Roman" w:hAnsi="Arial" w:cs="Arial"/>
          <w:color w:val="000000"/>
          <w:kern w:val="0"/>
          <w14:ligatures w14:val="none"/>
        </w:rPr>
        <w:t xml:space="preserve"> count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The same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individual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identified leukocytes in all blood smears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 xml:space="preserve"> while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remaining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unaware of the treatment groups.</w:t>
      </w:r>
    </w:p>
    <w:p w14:paraId="60E9106F" w14:textId="77777777" w:rsidR="00292FF5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68286111" w14:textId="17D7DF0D" w:rsidR="0045522C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2.4. </w:t>
      </w:r>
      <w:r w:rsidR="00991BBD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Water Quality 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Measurements</w:t>
      </w:r>
    </w:p>
    <w:p w14:paraId="7020B4D8" w14:textId="6BA812E3" w:rsidR="0045522C" w:rsidRPr="00122893" w:rsidRDefault="00292FF5" w:rsidP="00122893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We collected water q</w:t>
      </w:r>
      <w:r w:rsidR="0045522C" w:rsidRPr="00122893">
        <w:rPr>
          <w:rFonts w:ascii="Arial" w:eastAsia="Times New Roman" w:hAnsi="Arial" w:cs="Arial"/>
          <w:color w:val="000000"/>
          <w:kern w:val="0"/>
          <w14:ligatures w14:val="none"/>
        </w:rPr>
        <w:t>u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ality data—temperature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 xml:space="preserve"> (°C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), dissolved oxygen (mg/L), pH, and salinity (ppt)—using a YSI Pro DSS a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ccording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to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user guidelines (Yellow Springs Instruments, Xylem Inc., Washington D.C., USA) to ensure consistency among tanks. We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gather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ed YSI data on days 2, 3, 10, 11, 14, and 15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—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all </w:t>
      </w:r>
      <w:r w:rsidR="00533DCC">
        <w:rPr>
          <w:rFonts w:ascii="Arial" w:eastAsia="Times New Roman" w:hAnsi="Arial" w:cs="Arial"/>
          <w:color w:val="000000"/>
          <w:kern w:val="0"/>
          <w14:ligatures w14:val="none"/>
        </w:rPr>
        <w:t>prior to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increasing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salinity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—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and on day 17 to verify the intentional salinity increase. We double-rinsed the YSI instrument in tap and reverse osmosis water between samples to </w:t>
      </w:r>
      <w:r w:rsidR="00533DCC">
        <w:rPr>
          <w:rFonts w:ascii="Arial" w:eastAsia="Times New Roman" w:hAnsi="Arial" w:cs="Arial"/>
          <w:color w:val="000000"/>
          <w:kern w:val="0"/>
          <w14:ligatures w14:val="none"/>
        </w:rPr>
        <w:t>prevent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contamination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among tanks. We u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tiliz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ed the water quality data to </w:t>
      </w:r>
      <w:r w:rsidR="00373EEB">
        <w:rPr>
          <w:rFonts w:ascii="Arial" w:eastAsia="Times New Roman" w:hAnsi="Arial" w:cs="Arial"/>
          <w:color w:val="000000"/>
          <w:kern w:val="0"/>
          <w14:ligatures w14:val="none"/>
        </w:rPr>
        <w:t>qualitatively assess variation among tanks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38983AC9" w14:textId="77777777" w:rsidR="0045522C" w:rsidRPr="00122893" w:rsidRDefault="0045522C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</w:p>
    <w:p w14:paraId="43140371" w14:textId="77777777" w:rsidR="0045522C" w:rsidRPr="00122893" w:rsidRDefault="00292FF5" w:rsidP="00122893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2.5. Statistical Analyses</w:t>
      </w:r>
    </w:p>
    <w:p w14:paraId="71D4D865" w14:textId="5A3C5320" w:rsidR="00292FF5" w:rsidRPr="00122893" w:rsidRDefault="00292FF5" w:rsidP="00122893">
      <w:pPr>
        <w:spacing w:line="480" w:lineRule="auto"/>
        <w:ind w:firstLine="720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We visualized and analyzed all data using R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with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in Posit’s RStudio Integrated Development Environment </w:t>
      </w:r>
      <w:hyperlink r:id="rId26" w:history="1">
        <w:r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(R Core Team, 2024)</w:t>
        </w:r>
      </w:hyperlink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For statistical testing,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we used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an alpha value of 0.05. Between day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4 and 7, one fish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from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control, Cd high, and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high group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died; on day 14, one fish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from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low group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 xml:space="preserve">also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died (four fish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 xml:space="preserve"> in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total). We included blood and water quality data from all four of these fish until day 7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but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subsequently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removed the fish and their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corresponding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water quality data from the dataset.</w:t>
      </w:r>
    </w:p>
    <w:p w14:paraId="0D7E8C70" w14:textId="5EFF695D" w:rsidR="00292FF5" w:rsidRDefault="00292FF5" w:rsidP="00122893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First, we qualitatively assessed water quality variables throughout the study (days 2, 3, 10, 11, 14, 15, 17) to ensure temporal consistency among all tanks. We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 xml:space="preserve">then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used the length and weight data to calculate each individual’s relative weight (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Wᵣ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), a commonly used condition metric </w:t>
      </w:r>
      <w:r w:rsidR="00487AF7">
        <w:rPr>
          <w:rFonts w:ascii="Arial" w:eastAsia="Times New Roman" w:hAnsi="Arial" w:cs="Arial"/>
          <w:color w:val="000000"/>
          <w:kern w:val="0"/>
          <w14:ligatures w14:val="none"/>
        </w:rPr>
        <w:t>for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freshwater fishes (</w:t>
      </w:r>
      <w:commentRangeStart w:id="0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Neumann &amp; Allen, 2007</w:t>
      </w:r>
      <w:commentRangeEnd w:id="0"/>
      <w:r w:rsidR="001252F7">
        <w:rPr>
          <w:rStyle w:val="CommentReference"/>
        </w:rPr>
        <w:commentReference w:id="0"/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; equation 1).</w:t>
      </w:r>
    </w:p>
    <w:p w14:paraId="4ADE4DD3" w14:textId="62073009" w:rsidR="00292FF5" w:rsidRPr="001252F7" w:rsidRDefault="001252F7" w:rsidP="001252F7">
      <w:pPr>
        <w:spacing w:line="480" w:lineRule="auto"/>
        <w:jc w:val="right"/>
        <w:rPr>
          <w:rFonts w:ascii="Arial" w:eastAsia="Times New Roman" w:hAnsi="Arial" w:cs="Arial"/>
          <w:kern w:val="0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Cambria Math"/>
                <w:kern w:val="0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Cambria Math"/>
                <w:kern w:val="0"/>
                <w14:ligatures w14:val="none"/>
              </w:rPr>
              <m:t>r</m:t>
            </m:r>
          </m:sub>
        </m:sSub>
        <m:r>
          <m:rPr>
            <m:sty m:val="p"/>
          </m:rPr>
          <w:rPr>
            <w:rFonts w:ascii="Cambria Math" w:eastAsia="Times New Roman" w:hAnsi="Cambria Math" w:cs="Cambria Math"/>
            <w:kern w:val="0"/>
            <w14:ligatures w14:val="none"/>
          </w:rPr>
          <m:t xml:space="preserve"> </m:t>
        </m:r>
        <m:r>
          <m:rPr>
            <m:sty m:val="p"/>
          </m:rPr>
          <w:rPr>
            <w:rFonts w:ascii="Cambria Math" w:eastAsia="Times New Roman" w:hAnsi="Cambria Math" w:cs="Cambria Math"/>
            <w:kern w:val="0"/>
            <w14:ligatures w14:val="none"/>
          </w:rPr>
          <m:t>=</m:t>
        </m:r>
        <m:r>
          <m:rPr>
            <m:sty m:val="p"/>
          </m:rPr>
          <w:rPr>
            <w:rFonts w:ascii="Cambria Math" w:eastAsia="Times New Roman" w:hAnsi="Cambria Math" w:cs="Cambria Math"/>
            <w:kern w:val="0"/>
            <w14:ligatures w14:val="none"/>
          </w:rPr>
          <m:t xml:space="preserve"> </m:t>
        </m:r>
        <m:d>
          <m:dPr>
            <m:ctrlPr>
              <w:rPr>
                <w:rFonts w:ascii="Cambria Math" w:eastAsia="Times New Roman" w:hAnsi="Cambria Math" w:cs="Cambria Math"/>
                <w:kern w:val="0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Arial"/>
                    <w:kern w:val="0"/>
                    <w14:ligatures w14:val="none"/>
                  </w:rPr>
                </m:ctrlPr>
              </m:fPr>
              <m:num>
                <m:r>
                  <w:rPr>
                    <w:rFonts w:ascii="Cambria Math" w:eastAsia="Times New Roman" w:hAnsi="Cambria Math" w:cs="Cambria Math"/>
                    <w:kern w:val="0"/>
                    <w14:ligatures w14:val="none"/>
                  </w:rPr>
                  <m:t>W</m:t>
                </m:r>
              </m:num>
              <m:den>
                <m:sSub>
                  <m:sSubPr>
                    <m:ctrlPr>
                      <w:rPr>
                        <w:rFonts w:ascii="Cambria Math" w:eastAsia="Times New Roman" w:hAnsi="Cambria Math" w:cs="Cambria Math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mbria Math"/>
                        <w:kern w:val="0"/>
                        <w14:ligatures w14:val="none"/>
                      </w:rPr>
                      <m:t>W</m:t>
                    </m:r>
                  </m:e>
                  <m:sub>
                    <m:r>
                      <w:rPr>
                        <w:rFonts w:ascii="Cambria Math" w:eastAsia="Times New Roman" w:hAnsi="Cambria Math" w:cs="Cambria Math"/>
                        <w:kern w:val="0"/>
                        <w14:ligatures w14:val="none"/>
                      </w:rPr>
                      <m:t>s</m:t>
                    </m:r>
                  </m:sub>
                </m:sSub>
              </m:den>
            </m:f>
            <m:ctrlPr>
              <w:rPr>
                <w:rFonts w:ascii="Cambria Math" w:eastAsia="Times New Roman" w:hAnsi="Cambria Math" w:cs="Arial"/>
                <w:i/>
                <w:kern w:val="0"/>
                <w14:ligatures w14:val="none"/>
              </w:rPr>
            </m:ctrlPr>
          </m:e>
        </m:d>
        <m:r>
          <w:rPr>
            <w:rFonts w:ascii="Cambria Math" w:eastAsia="Times New Roman" w:hAnsi="Cambria Math" w:cs="Arial"/>
            <w:kern w:val="0"/>
            <w14:ligatures w14:val="none"/>
          </w:rPr>
          <m:t xml:space="preserve"> * 10</m:t>
        </m:r>
        <m:r>
          <w:rPr>
            <w:rFonts w:ascii="Cambria Math" w:eastAsia="Times New Roman" w:hAnsi="Cambria Math" w:cs="Arial"/>
            <w:kern w:val="0"/>
            <w14:ligatures w14:val="none"/>
          </w:rPr>
          <m:t>0</m:t>
        </m:r>
      </m:oMath>
      <w:r>
        <w:rPr>
          <w:rFonts w:ascii="Arial" w:eastAsia="Times New Roman" w:hAnsi="Arial" w:cs="Arial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14:ligatures w14:val="none"/>
        </w:rPr>
        <w:tab/>
      </w:r>
      <w:r>
        <w:rPr>
          <w:rFonts w:ascii="Arial" w:eastAsia="Times New Roman" w:hAnsi="Arial" w:cs="Arial"/>
          <w:kern w:val="0"/>
          <w14:ligatures w14:val="none"/>
        </w:rPr>
        <w:tab/>
      </w:r>
      <w:r>
        <w:rPr>
          <w:rFonts w:ascii="Arial" w:eastAsia="Times New Roman" w:hAnsi="Arial" w:cs="Arial"/>
          <w:kern w:val="0"/>
          <w14:ligatures w14:val="none"/>
        </w:rPr>
        <w:tab/>
      </w:r>
      <w:r>
        <w:rPr>
          <w:rFonts w:ascii="Arial" w:eastAsia="Times New Roman" w:hAnsi="Arial" w:cs="Arial"/>
          <w:kern w:val="0"/>
          <w14:ligatures w14:val="none"/>
        </w:rPr>
        <w:tab/>
        <w:t>equation 1</w:t>
      </w:r>
    </w:p>
    <w:p w14:paraId="33599C29" w14:textId="77777777" w:rsidR="00BC047E" w:rsidRDefault="00292FF5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We used the regression equation for largemouth bass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from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commentRangeStart w:id="1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Anderson and Neumann (1996)</w:t>
      </w:r>
      <w:commentRangeEnd w:id="1"/>
      <w:r w:rsidR="001252F7">
        <w:rPr>
          <w:rStyle w:val="CommentReference"/>
        </w:rPr>
        <w:commentReference w:id="1"/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to calculate the standard weight (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W</w:t>
      </w:r>
      <w:r w:rsidRPr="00122893">
        <w:rPr>
          <w:rFonts w:ascii="Segoe UI Symbol" w:eastAsia="Times New Roman" w:hAnsi="Segoe UI Symbol" w:cs="Segoe UI Symbol"/>
          <w:i/>
          <w:iCs/>
          <w:color w:val="000000"/>
          <w:kern w:val="0"/>
          <w14:ligatures w14:val="none"/>
        </w:rPr>
        <w:t>ₛ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)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requir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ed in the relative weight equation (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 xml:space="preserve">with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the other parameter, 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W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representing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fish weight; equation 1). </w:t>
      </w:r>
    </w:p>
    <w:p w14:paraId="4D5C66C7" w14:textId="6927999B" w:rsidR="00883338" w:rsidRDefault="00BC047E" w:rsidP="00BC047E">
      <w:pPr>
        <w:spacing w:line="480" w:lineRule="auto"/>
        <w:ind w:firstLine="720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 directly test our hypotheses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we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employ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ed a generalized linear mixed-effects model (GLMM) to analyze (1) the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impa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ct of varying rates of Cd and </w:t>
      </w:r>
      <w:proofErr w:type="spellStart"/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on NLR (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 xml:space="preserve">which serves as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the proxy for bass stress; objective 1), (2) the interaction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between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treatment effects and the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 xml:space="preserve">influence of the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introduced environmental stressor on NLR (objective 2), and (3) the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variation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in NLR among groups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exposed to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 persistent environmental stressor (objective 3). We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identifi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ed the best-fitting distribution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for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NLR data using the </w:t>
      </w:r>
      <w:proofErr w:type="spellStart"/>
      <w:r w:rsidR="00292FF5"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fitdistrplus</w:t>
      </w:r>
      <w:proofErr w:type="spellEnd"/>
      <w:r w:rsidR="00292FF5"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package </w:t>
      </w:r>
      <w:hyperlink r:id="rId31" w:history="1">
        <w:r w:rsidR="00292FF5"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(</w:t>
        </w:r>
        <w:proofErr w:type="spellStart"/>
        <w:r w:rsidR="00292FF5"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Delignette</w:t>
        </w:r>
        <w:proofErr w:type="spellEnd"/>
        <w:r w:rsidR="00292FF5"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 xml:space="preserve">-Muller &amp; </w:t>
        </w:r>
        <w:proofErr w:type="spellStart"/>
        <w:r w:rsidR="00292FF5"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Dutang</w:t>
        </w:r>
        <w:proofErr w:type="spellEnd"/>
        <w:r w:rsidR="00292FF5" w:rsidRPr="00122893">
          <w:rPr>
            <w:rFonts w:ascii="Arial" w:eastAsia="Times New Roman" w:hAnsi="Arial" w:cs="Arial"/>
            <w:color w:val="0000FF"/>
            <w:kern w:val="0"/>
            <w:u w:val="single"/>
            <w14:ligatures w14:val="none"/>
          </w:rPr>
          <w:t>, 2015)</w:t>
        </w:r>
      </w:hyperlink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We included fixed effects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for the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treatment group (control, Cd low 0.034 ppm, Cd high 0.34 ppm, </w:t>
      </w:r>
      <w:proofErr w:type="spellStart"/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low 3.4 mg/L, </w:t>
      </w:r>
      <w:proofErr w:type="spellStart"/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high 34 mg/L), blood sample (1-4), and their interaction, a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long with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 random effect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for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individual (i.e., tank) to</w:t>
      </w:r>
      <w:r w:rsidR="000D0961">
        <w:rPr>
          <w:rFonts w:ascii="Arial" w:eastAsia="Times New Roman" w:hAnsi="Arial" w:cs="Arial"/>
          <w:color w:val="000000"/>
          <w:kern w:val="0"/>
          <w14:ligatures w14:val="none"/>
        </w:rPr>
        <w:t xml:space="preserve"> allow the model to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account for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any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>correlation within individual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and to</w:t>
      </w:r>
      <w:r w:rsidR="000D0961">
        <w:rPr>
          <w:rFonts w:ascii="Arial" w:eastAsia="Times New Roman" w:hAnsi="Arial" w:cs="Arial"/>
          <w:color w:val="000000"/>
          <w:kern w:val="0"/>
          <w14:ligatures w14:val="none"/>
        </w:rPr>
        <w:t xml:space="preserve"> meet that assumption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We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evaluat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ed our objectives by examining specific beta coefficient estimates within the GLMM: (objective 1)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 xml:space="preserve">the slope of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each treatment line between blood 1 and blood 2, (objective 2) 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 xml:space="preserve">the slope of 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>each treatment line between blood 2 and blood 3, and (objective 3)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 xml:space="preserve"> the slope of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each treatment line between blood 3 and blood 4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</w:t>
      </w:r>
      <w:r w:rsidR="00661E69">
        <w:rPr>
          <w:rFonts w:ascii="Arial" w:eastAsia="Times New Roman" w:hAnsi="Arial" w:cs="Arial"/>
          <w:color w:val="000000"/>
          <w:kern w:val="0"/>
          <w14:ligatures w14:val="none"/>
        </w:rPr>
        <w:t>s well as</w:t>
      </w:r>
      <w:r w:rsidR="00292FF5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each treatment’s mean at blood 4.</w:t>
      </w:r>
      <w:r w:rsidR="000D0961">
        <w:rPr>
          <w:rFonts w:ascii="Arial" w:eastAsia="Times New Roman" w:hAnsi="Arial" w:cs="Arial"/>
          <w:color w:val="000000"/>
          <w:kern w:val="0"/>
          <w14:ligatures w14:val="none"/>
        </w:rPr>
        <w:t xml:space="preserve"> We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assessed</w:t>
      </w:r>
      <w:r w:rsidR="000D0961">
        <w:rPr>
          <w:rFonts w:ascii="Arial" w:eastAsia="Times New Roman" w:hAnsi="Arial" w:cs="Arial"/>
          <w:color w:val="000000"/>
          <w:kern w:val="0"/>
          <w14:ligatures w14:val="none"/>
        </w:rPr>
        <w:t xml:space="preserve"> model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convergence</w:t>
      </w:r>
      <w:r w:rsidR="000D0961">
        <w:rPr>
          <w:rFonts w:ascii="Arial" w:eastAsia="Times New Roman" w:hAnsi="Arial" w:cs="Arial"/>
          <w:color w:val="000000"/>
          <w:kern w:val="0"/>
          <w14:ligatures w14:val="none"/>
        </w:rPr>
        <w:t xml:space="preserve"> by ensuring the residuals were normally distributed and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comparing predicted parameter estimates using non-parametric bootstrapping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to the raw data means. </w:t>
      </w:r>
    </w:p>
    <w:p w14:paraId="1B753BE1" w14:textId="77777777" w:rsidR="004F6348" w:rsidRDefault="004F6348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490BA97" w14:textId="1BB903D5" w:rsidR="004F6348" w:rsidRDefault="004F6348" w:rsidP="00122893">
      <w:pPr>
        <w:spacing w:line="48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</w:t>
      </w:r>
      <w:r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.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Results</w:t>
      </w:r>
    </w:p>
    <w:p w14:paraId="13FA2BF9" w14:textId="6C7AF3FF" w:rsidR="001A6161" w:rsidRDefault="001A6161" w:rsidP="001252F7">
      <w:pPr>
        <w:spacing w:line="480" w:lineRule="auto"/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3.1</w:t>
      </w:r>
      <w:r w:rsidR="00C04669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. Largemouth Bass</w:t>
      </w:r>
    </w:p>
    <w:p w14:paraId="58EA5AE2" w14:textId="76B0E3B3" w:rsidR="00C04669" w:rsidRDefault="00C04669" w:rsidP="00C04669">
      <w:pPr>
        <w:spacing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On day 1, the </w:t>
      </w:r>
      <w:r>
        <w:rPr>
          <w:rFonts w:ascii="Arial" w:hAnsi="Arial" w:cs="Arial"/>
        </w:rPr>
        <w:t xml:space="preserve">bass </w:t>
      </w:r>
      <w:r>
        <w:rPr>
          <w:rFonts w:ascii="Arial" w:hAnsi="Arial" w:cs="Arial"/>
        </w:rPr>
        <w:t>mean total length and relative weight were 183.87 mm (±15.92 mm; 95% CI) and 93.67 (±3.13; 95% CI), respectively. By day 22 (conclusion of the study), the mean total length did not change, while the relative weight fell slightly to 87.64 (±4.79; 95% CI).</w:t>
      </w:r>
      <w:r>
        <w:rPr>
          <w:rFonts w:ascii="Arial" w:hAnsi="Arial" w:cs="Arial"/>
        </w:rPr>
        <w:t xml:space="preserve"> The mean total lengths among groups were not substantially different: </w:t>
      </w:r>
      <w:r>
        <w:rPr>
          <w:rFonts w:ascii="Arial" w:hAnsi="Arial" w:cs="Arial"/>
        </w:rPr>
        <w:t>Cd low</w:t>
      </w:r>
      <w:r>
        <w:rPr>
          <w:rFonts w:ascii="Arial" w:hAnsi="Arial" w:cs="Arial"/>
        </w:rPr>
        <w:t xml:space="preserve"> 164.20 mm (±6.70 mm; 95% CI)</w:t>
      </w:r>
      <w:r>
        <w:rPr>
          <w:rFonts w:ascii="Arial" w:hAnsi="Arial" w:cs="Arial"/>
        </w:rPr>
        <w:t>, Cd high</w:t>
      </w:r>
      <w:r>
        <w:rPr>
          <w:rFonts w:ascii="Arial" w:hAnsi="Arial" w:cs="Arial"/>
        </w:rPr>
        <w:t xml:space="preserve"> 204.92 mm</w:t>
      </w:r>
      <w:r>
        <w:rPr>
          <w:rFonts w:ascii="Arial" w:hAnsi="Arial" w:cs="Arial"/>
        </w:rPr>
        <w:t xml:space="preserve"> (±</w:t>
      </w:r>
      <w:r>
        <w:rPr>
          <w:rFonts w:ascii="Arial" w:hAnsi="Arial" w:cs="Arial"/>
        </w:rPr>
        <w:t>15.15</w:t>
      </w:r>
      <w:r>
        <w:rPr>
          <w:rFonts w:ascii="Arial" w:hAnsi="Arial" w:cs="Arial"/>
        </w:rPr>
        <w:t xml:space="preserve"> mm), </w:t>
      </w:r>
      <w:proofErr w:type="spellStart"/>
      <w:r>
        <w:rPr>
          <w:rFonts w:ascii="Arial" w:hAnsi="Arial" w:cs="Arial"/>
        </w:rPr>
        <w:lastRenderedPageBreak/>
        <w:t>PFPeA</w:t>
      </w:r>
      <w:proofErr w:type="spellEnd"/>
      <w:r>
        <w:rPr>
          <w:rFonts w:ascii="Arial" w:hAnsi="Arial" w:cs="Arial"/>
        </w:rPr>
        <w:t xml:space="preserve"> low</w:t>
      </w:r>
      <w:r>
        <w:rPr>
          <w:rFonts w:ascii="Arial" w:hAnsi="Arial" w:cs="Arial"/>
        </w:rPr>
        <w:t xml:space="preserve"> 171.25</w:t>
      </w:r>
      <w:r>
        <w:rPr>
          <w:rFonts w:ascii="Arial" w:hAnsi="Arial" w:cs="Arial"/>
        </w:rPr>
        <w:t xml:space="preserve"> (±</w:t>
      </w:r>
      <w:r>
        <w:rPr>
          <w:rFonts w:ascii="Arial" w:hAnsi="Arial" w:cs="Arial"/>
        </w:rPr>
        <w:t>17.49</w:t>
      </w:r>
      <w:r>
        <w:rPr>
          <w:rFonts w:ascii="Arial" w:hAnsi="Arial" w:cs="Arial"/>
        </w:rPr>
        <w:t xml:space="preserve"> mm), </w:t>
      </w:r>
      <w:proofErr w:type="spellStart"/>
      <w:r>
        <w:rPr>
          <w:rFonts w:ascii="Arial" w:hAnsi="Arial" w:cs="Arial"/>
        </w:rPr>
        <w:t>PFPeA</w:t>
      </w:r>
      <w:proofErr w:type="spellEnd"/>
      <w:r>
        <w:rPr>
          <w:rFonts w:ascii="Arial" w:hAnsi="Arial" w:cs="Arial"/>
        </w:rPr>
        <w:t xml:space="preserve"> high</w:t>
      </w:r>
      <w:r>
        <w:rPr>
          <w:rFonts w:ascii="Arial" w:hAnsi="Arial" w:cs="Arial"/>
        </w:rPr>
        <w:t xml:space="preserve"> 196.50 mm</w:t>
      </w:r>
      <w:r>
        <w:rPr>
          <w:rFonts w:ascii="Arial" w:hAnsi="Arial" w:cs="Arial"/>
        </w:rPr>
        <w:t xml:space="preserve"> (±</w:t>
      </w:r>
      <w:r>
        <w:rPr>
          <w:rFonts w:ascii="Arial" w:hAnsi="Arial" w:cs="Arial"/>
        </w:rPr>
        <w:t>24.35</w:t>
      </w:r>
      <w:r>
        <w:rPr>
          <w:rFonts w:ascii="Arial" w:hAnsi="Arial" w:cs="Arial"/>
        </w:rPr>
        <w:t xml:space="preserve"> mm), and control</w:t>
      </w:r>
      <w:r>
        <w:rPr>
          <w:rFonts w:ascii="Arial" w:hAnsi="Arial" w:cs="Arial"/>
        </w:rPr>
        <w:t xml:space="preserve"> 184.42 mm</w:t>
      </w:r>
      <w:r>
        <w:rPr>
          <w:rFonts w:ascii="Arial" w:hAnsi="Arial" w:cs="Arial"/>
        </w:rPr>
        <w:t xml:space="preserve"> (±</w:t>
      </w:r>
      <w:r>
        <w:rPr>
          <w:rFonts w:ascii="Arial" w:hAnsi="Arial" w:cs="Arial"/>
        </w:rPr>
        <w:t>16.97</w:t>
      </w:r>
      <w:r>
        <w:rPr>
          <w:rFonts w:ascii="Arial" w:hAnsi="Arial" w:cs="Arial"/>
        </w:rPr>
        <w:t xml:space="preserve"> mm)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="00BC047E">
        <w:rPr>
          <w:rFonts w:ascii="Arial" w:hAnsi="Arial" w:cs="Arial"/>
        </w:rPr>
        <w:t>Throughout the study, w</w:t>
      </w:r>
      <w:r>
        <w:rPr>
          <w:rFonts w:ascii="Arial" w:hAnsi="Arial" w:cs="Arial"/>
        </w:rPr>
        <w:t>e examined 48</w:t>
      </w:r>
      <w:r>
        <w:rPr>
          <w:rFonts w:ascii="Arial" w:hAnsi="Arial" w:cs="Arial"/>
        </w:rPr>
        <w:t xml:space="preserve"> bass</w:t>
      </w:r>
      <w:r>
        <w:rPr>
          <w:rFonts w:ascii="Arial" w:hAnsi="Arial" w:cs="Arial"/>
        </w:rPr>
        <w:t xml:space="preserve"> blood smears among the five groups (12 Cd low, 9 Cd high, 9 </w:t>
      </w:r>
      <w:proofErr w:type="spellStart"/>
      <w:r>
        <w:rPr>
          <w:rFonts w:ascii="Arial" w:hAnsi="Arial" w:cs="Arial"/>
        </w:rPr>
        <w:t>PFPeA</w:t>
      </w:r>
      <w:proofErr w:type="spellEnd"/>
      <w:r>
        <w:rPr>
          <w:rFonts w:ascii="Arial" w:hAnsi="Arial" w:cs="Arial"/>
        </w:rPr>
        <w:t xml:space="preserve"> low, 9 </w:t>
      </w:r>
      <w:proofErr w:type="spellStart"/>
      <w:r>
        <w:rPr>
          <w:rFonts w:ascii="Arial" w:hAnsi="Arial" w:cs="Arial"/>
        </w:rPr>
        <w:t>PFPeA</w:t>
      </w:r>
      <w:proofErr w:type="spellEnd"/>
      <w:r>
        <w:rPr>
          <w:rFonts w:ascii="Arial" w:hAnsi="Arial" w:cs="Arial"/>
        </w:rPr>
        <w:t xml:space="preserve"> high, and 9 control), </w:t>
      </w:r>
      <w:r w:rsidR="003A5734">
        <w:rPr>
          <w:rFonts w:ascii="Arial" w:hAnsi="Arial" w:cs="Arial"/>
        </w:rPr>
        <w:t xml:space="preserve">with NLR </w:t>
      </w:r>
      <w:r>
        <w:rPr>
          <w:rFonts w:ascii="Arial" w:hAnsi="Arial" w:cs="Arial"/>
        </w:rPr>
        <w:t>ranging from 0.44 to 6.64</w:t>
      </w:r>
      <w:r>
        <w:rPr>
          <w:rFonts w:ascii="Arial" w:hAnsi="Arial" w:cs="Arial"/>
        </w:rPr>
        <w:t>.</w:t>
      </w:r>
    </w:p>
    <w:p w14:paraId="08D7C782" w14:textId="77777777" w:rsidR="00C04669" w:rsidRPr="00C04669" w:rsidRDefault="00C04669" w:rsidP="00C04669">
      <w:pPr>
        <w:spacing w:line="480" w:lineRule="auto"/>
        <w:rPr>
          <w:rFonts w:ascii="Arial" w:hAnsi="Arial" w:cs="Arial"/>
        </w:rPr>
      </w:pPr>
    </w:p>
    <w:p w14:paraId="6419FEEC" w14:textId="4044E340" w:rsidR="001252F7" w:rsidRDefault="001252F7" w:rsidP="001252F7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3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.</w:t>
      </w:r>
      <w:r w:rsidR="00C04669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2</w:t>
      </w:r>
      <w:r w:rsidRPr="00122893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 xml:space="preserve">. </w:t>
      </w:r>
      <w:r w:rsidR="00991BBD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Water Quality</w:t>
      </w:r>
    </w:p>
    <w:p w14:paraId="55A4282D" w14:textId="01165397" w:rsidR="004F6348" w:rsidRDefault="00991BBD" w:rsidP="008D4890">
      <w:pPr>
        <w:spacing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We observed</w:t>
      </w:r>
      <w:r w:rsidR="008D4890">
        <w:rPr>
          <w:rFonts w:ascii="Arial" w:hAnsi="Arial" w:cs="Arial"/>
        </w:rPr>
        <w:t xml:space="preserve"> </w:t>
      </w:r>
      <w:r w:rsidRPr="00991BBD">
        <w:rPr>
          <w:rFonts w:ascii="Arial" w:hAnsi="Arial" w:cs="Arial"/>
        </w:rPr>
        <w:t xml:space="preserve">minimal variation in water quality data </w:t>
      </w:r>
      <w:r w:rsidR="00AB131F">
        <w:rPr>
          <w:rFonts w:ascii="Arial" w:hAnsi="Arial" w:cs="Arial"/>
        </w:rPr>
        <w:t>regardi</w:t>
      </w:r>
      <w:r w:rsidRPr="00991BBD">
        <w:rPr>
          <w:rFonts w:ascii="Arial" w:hAnsi="Arial" w:cs="Arial"/>
        </w:rPr>
        <w:t>ng tank temperature, dissolved oxygen, and pH</w:t>
      </w:r>
      <w:r w:rsidR="00A16CA8">
        <w:rPr>
          <w:rFonts w:ascii="Arial" w:hAnsi="Arial" w:cs="Arial"/>
        </w:rPr>
        <w:t xml:space="preserve"> throughout the study</w:t>
      </w:r>
      <w:r w:rsidRPr="00991BBD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 xml:space="preserve">Table 1; </w:t>
      </w:r>
      <w:r w:rsidRPr="00991BBD">
        <w:rPr>
          <w:rFonts w:ascii="Arial" w:hAnsi="Arial" w:cs="Arial"/>
        </w:rPr>
        <w:t xml:space="preserve">Figure 3). Salinity only </w:t>
      </w:r>
      <w:r w:rsidR="00A16CA8">
        <w:rPr>
          <w:rFonts w:ascii="Arial" w:hAnsi="Arial" w:cs="Arial"/>
        </w:rPr>
        <w:t>varied</w:t>
      </w:r>
      <w:r w:rsidRPr="00991BBD">
        <w:rPr>
          <w:rFonts w:ascii="Arial" w:hAnsi="Arial" w:cs="Arial"/>
        </w:rPr>
        <w:t xml:space="preserve"> after we added salt, </w:t>
      </w:r>
      <w:r w:rsidR="00AB131F">
        <w:rPr>
          <w:rFonts w:ascii="Arial" w:hAnsi="Arial" w:cs="Arial"/>
        </w:rPr>
        <w:t>increas</w:t>
      </w:r>
      <w:r w:rsidRPr="00991BBD">
        <w:rPr>
          <w:rFonts w:ascii="Arial" w:hAnsi="Arial" w:cs="Arial"/>
        </w:rPr>
        <w:t xml:space="preserve">ing from a mean salinity of 0.13 ppt (±0.0024 ppt; 95% CI) </w:t>
      </w:r>
      <w:r w:rsidR="00AB131F">
        <w:rPr>
          <w:rFonts w:ascii="Arial" w:hAnsi="Arial" w:cs="Arial"/>
        </w:rPr>
        <w:t>across</w:t>
      </w:r>
      <w:r w:rsidRPr="00991BBD">
        <w:rPr>
          <w:rFonts w:ascii="Arial" w:hAnsi="Arial" w:cs="Arial"/>
        </w:rPr>
        <w:t xml:space="preserve"> all tanks </w:t>
      </w:r>
      <w:r w:rsidR="00AB131F">
        <w:rPr>
          <w:rFonts w:ascii="Arial" w:hAnsi="Arial" w:cs="Arial"/>
        </w:rPr>
        <w:t xml:space="preserve">before </w:t>
      </w:r>
      <w:r w:rsidRPr="00991BBD">
        <w:rPr>
          <w:rFonts w:ascii="Arial" w:hAnsi="Arial" w:cs="Arial"/>
        </w:rPr>
        <w:t xml:space="preserve">salt intrusion to 4.96 ppt (±0.099 ppt; 95% CI). We concluded that all water quality variables remained </w:t>
      </w:r>
      <w:r w:rsidR="00AB131F">
        <w:rPr>
          <w:rFonts w:ascii="Arial" w:hAnsi="Arial" w:cs="Arial"/>
        </w:rPr>
        <w:t>consistent</w:t>
      </w:r>
      <w:r w:rsidRPr="00991BBD">
        <w:rPr>
          <w:rFonts w:ascii="Arial" w:hAnsi="Arial" w:cs="Arial"/>
        </w:rPr>
        <w:t xml:space="preserve"> among the treatment groups (</w:t>
      </w:r>
      <w:r w:rsidR="00AB131F">
        <w:rPr>
          <w:rFonts w:ascii="Arial" w:hAnsi="Arial" w:cs="Arial"/>
        </w:rPr>
        <w:t xml:space="preserve">Table 1; </w:t>
      </w:r>
      <w:r w:rsidRPr="00991BBD">
        <w:rPr>
          <w:rFonts w:ascii="Arial" w:hAnsi="Arial" w:cs="Arial"/>
        </w:rPr>
        <w:t>Figure 3)</w:t>
      </w:r>
      <w:r w:rsidR="00AB131F">
        <w:rPr>
          <w:rFonts w:ascii="Arial" w:hAnsi="Arial" w:cs="Arial"/>
        </w:rPr>
        <w:t>;</w:t>
      </w:r>
      <w:r w:rsidRPr="00991BBD">
        <w:rPr>
          <w:rFonts w:ascii="Arial" w:hAnsi="Arial" w:cs="Arial"/>
        </w:rPr>
        <w:t xml:space="preserve"> therefore, we </w:t>
      </w:r>
      <w:r w:rsidR="00AB131F">
        <w:rPr>
          <w:rFonts w:ascii="Arial" w:hAnsi="Arial" w:cs="Arial"/>
        </w:rPr>
        <w:t>exclud</w:t>
      </w:r>
      <w:r w:rsidRPr="00991BBD">
        <w:rPr>
          <w:rFonts w:ascii="Arial" w:hAnsi="Arial" w:cs="Arial"/>
        </w:rPr>
        <w:t>ed these variables from modeling approaches when assessing our hypotheses.</w:t>
      </w:r>
    </w:p>
    <w:p w14:paraId="1BBE0118" w14:textId="77777777" w:rsidR="00CD5079" w:rsidRDefault="00CD5079" w:rsidP="00122893">
      <w:pPr>
        <w:spacing w:line="480" w:lineRule="auto"/>
        <w:rPr>
          <w:rFonts w:ascii="Arial" w:hAnsi="Arial" w:cs="Arial"/>
        </w:rPr>
      </w:pPr>
    </w:p>
    <w:p w14:paraId="286ED3CE" w14:textId="37742343" w:rsidR="00435094" w:rsidRPr="00435094" w:rsidRDefault="00435094" w:rsidP="00122893">
      <w:pPr>
        <w:spacing w:line="480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3.</w:t>
      </w:r>
      <w:r w:rsidR="00C04669">
        <w:rPr>
          <w:rFonts w:ascii="Arial" w:hAnsi="Arial" w:cs="Arial"/>
          <w:i/>
          <w:iCs/>
        </w:rPr>
        <w:t>3</w:t>
      </w:r>
      <w:r w:rsidR="004B13AA">
        <w:rPr>
          <w:rFonts w:ascii="Arial" w:hAnsi="Arial" w:cs="Arial"/>
          <w:i/>
          <w:iCs/>
        </w:rPr>
        <w:t xml:space="preserve">. </w:t>
      </w:r>
      <w:r w:rsidR="001A6161">
        <w:rPr>
          <w:rFonts w:ascii="Arial" w:hAnsi="Arial" w:cs="Arial"/>
          <w:i/>
          <w:iCs/>
        </w:rPr>
        <w:t>Toxins</w:t>
      </w:r>
    </w:p>
    <w:p w14:paraId="50B670E3" w14:textId="479DA9A1" w:rsidR="00991BBD" w:rsidRDefault="0004143E" w:rsidP="008F6D79">
      <w:pPr>
        <w:spacing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We analyzed the impact of varying rates of Cd and </w:t>
      </w:r>
      <w:proofErr w:type="spellStart"/>
      <w:r>
        <w:rPr>
          <w:rFonts w:ascii="Arial" w:hAnsi="Arial" w:cs="Arial"/>
        </w:rPr>
        <w:t>PFPeA</w:t>
      </w:r>
      <w:proofErr w:type="spellEnd"/>
      <w:r>
        <w:rPr>
          <w:rFonts w:ascii="Arial" w:hAnsi="Arial" w:cs="Arial"/>
        </w:rPr>
        <w:t xml:space="preserve"> on bass stress by comparing the change in NLR between blood samples 1</w:t>
      </w:r>
      <w:r w:rsidR="00AC1393">
        <w:rPr>
          <w:rFonts w:ascii="Arial" w:hAnsi="Arial" w:cs="Arial"/>
        </w:rPr>
        <w:t xml:space="preserve"> (day 3)</w:t>
      </w:r>
      <w:r>
        <w:rPr>
          <w:rFonts w:ascii="Arial" w:hAnsi="Arial" w:cs="Arial"/>
        </w:rPr>
        <w:t xml:space="preserve"> and 2</w:t>
      </w:r>
      <w:r w:rsidR="00AC1393">
        <w:rPr>
          <w:rFonts w:ascii="Arial" w:hAnsi="Arial" w:cs="Arial"/>
        </w:rPr>
        <w:t xml:space="preserve"> (day 14)</w:t>
      </w:r>
      <w:r>
        <w:rPr>
          <w:rFonts w:ascii="Arial" w:hAnsi="Arial" w:cs="Arial"/>
        </w:rPr>
        <w:t>, which represented before and after the introduction of toxins</w:t>
      </w:r>
      <w:r w:rsidR="00AC1393">
        <w:rPr>
          <w:rFonts w:ascii="Arial" w:hAnsi="Arial" w:cs="Arial"/>
        </w:rPr>
        <w:t xml:space="preserve"> (day 10 toxin introduction; Figure 2)</w:t>
      </w:r>
      <w:r w:rsidR="004B13AA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="000E4487">
        <w:rPr>
          <w:rFonts w:ascii="Arial" w:hAnsi="Arial" w:cs="Arial"/>
        </w:rPr>
        <w:t xml:space="preserve">The control </w:t>
      </w:r>
      <w:r w:rsidR="00BE205A">
        <w:rPr>
          <w:rFonts w:ascii="Arial" w:hAnsi="Arial" w:cs="Arial"/>
        </w:rPr>
        <w:t xml:space="preserve">bass </w:t>
      </w:r>
      <w:r w:rsidR="000E4487">
        <w:rPr>
          <w:rFonts w:ascii="Arial" w:hAnsi="Arial" w:cs="Arial"/>
        </w:rPr>
        <w:t xml:space="preserve">NLR did not change between blood 1 and 2 </w:t>
      </w:r>
      <w:r w:rsidR="000E4487">
        <w:rPr>
          <w:rFonts w:ascii="Arial" w:hAnsi="Arial" w:cs="Arial"/>
        </w:rPr>
        <w:t>(Z</w:t>
      </w:r>
      <w:r w:rsidR="000E4487">
        <w:rPr>
          <w:rFonts w:ascii="Arial" w:hAnsi="Arial" w:cs="Arial"/>
          <w:vertAlign w:val="subscript"/>
        </w:rPr>
        <w:t>15,48</w:t>
      </w:r>
      <w:r w:rsidR="000E4487">
        <w:rPr>
          <w:rFonts w:ascii="Arial" w:hAnsi="Arial" w:cs="Arial"/>
        </w:rPr>
        <w:t xml:space="preserve"> = 0.</w:t>
      </w:r>
      <w:r w:rsidR="000E4487">
        <w:rPr>
          <w:rFonts w:ascii="Arial" w:hAnsi="Arial" w:cs="Arial"/>
        </w:rPr>
        <w:t>28</w:t>
      </w:r>
      <w:r w:rsidR="000E4487">
        <w:rPr>
          <w:rFonts w:ascii="Arial" w:hAnsi="Arial" w:cs="Arial"/>
        </w:rPr>
        <w:t xml:space="preserve">; </w:t>
      </w:r>
      <w:r w:rsidR="000E4487">
        <w:rPr>
          <w:rFonts w:ascii="Arial" w:hAnsi="Arial" w:cs="Arial"/>
          <w:i/>
          <w:iCs/>
        </w:rPr>
        <w:t>p</w:t>
      </w:r>
      <w:r w:rsidR="000E4487">
        <w:rPr>
          <w:rFonts w:ascii="Arial" w:hAnsi="Arial" w:cs="Arial"/>
        </w:rPr>
        <w:t xml:space="preserve"> = 0.8</w:t>
      </w:r>
      <w:r w:rsidR="000E4487">
        <w:rPr>
          <w:rFonts w:ascii="Arial" w:hAnsi="Arial" w:cs="Arial"/>
        </w:rPr>
        <w:t>9</w:t>
      </w:r>
      <w:r w:rsidR="004E2D52">
        <w:rPr>
          <w:rFonts w:ascii="Arial" w:hAnsi="Arial" w:cs="Arial"/>
        </w:rPr>
        <w:t>; Figure 4</w:t>
      </w:r>
      <w:r w:rsidR="000E4487">
        <w:rPr>
          <w:rFonts w:ascii="Arial" w:hAnsi="Arial" w:cs="Arial"/>
        </w:rPr>
        <w:t>)</w:t>
      </w:r>
      <w:r w:rsidR="000E4487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We observed no effect of </w:t>
      </w:r>
      <w:r w:rsidR="00AC1393">
        <w:rPr>
          <w:rFonts w:ascii="Arial" w:hAnsi="Arial" w:cs="Arial"/>
        </w:rPr>
        <w:t xml:space="preserve">low </w:t>
      </w:r>
      <w:r w:rsidR="00AC1393">
        <w:rPr>
          <w:rFonts w:ascii="Arial" w:hAnsi="Arial" w:cs="Arial"/>
        </w:rPr>
        <w:t>(Z</w:t>
      </w:r>
      <w:r w:rsidR="00AC1393">
        <w:rPr>
          <w:rFonts w:ascii="Arial" w:hAnsi="Arial" w:cs="Arial"/>
          <w:vertAlign w:val="subscript"/>
        </w:rPr>
        <w:t>15,48</w:t>
      </w:r>
      <w:r w:rsidR="00AC1393">
        <w:rPr>
          <w:rFonts w:ascii="Arial" w:hAnsi="Arial" w:cs="Arial"/>
        </w:rPr>
        <w:t xml:space="preserve"> = 0.24; </w:t>
      </w:r>
      <w:r w:rsidR="00AC1393">
        <w:rPr>
          <w:rFonts w:ascii="Arial" w:hAnsi="Arial" w:cs="Arial"/>
          <w:i/>
          <w:iCs/>
        </w:rPr>
        <w:t>p</w:t>
      </w:r>
      <w:r w:rsidR="00AC1393">
        <w:rPr>
          <w:rFonts w:ascii="Arial" w:hAnsi="Arial" w:cs="Arial"/>
        </w:rPr>
        <w:t xml:space="preserve"> = 0.81)</w:t>
      </w:r>
      <w:r w:rsidR="00AC1393">
        <w:rPr>
          <w:rFonts w:ascii="Arial" w:hAnsi="Arial" w:cs="Arial"/>
        </w:rPr>
        <w:t xml:space="preserve"> or high </w:t>
      </w:r>
      <w:r w:rsidR="00AC1393">
        <w:rPr>
          <w:rFonts w:ascii="Arial" w:hAnsi="Arial" w:cs="Arial"/>
        </w:rPr>
        <w:t>(Z</w:t>
      </w:r>
      <w:r w:rsidR="00AC1393">
        <w:rPr>
          <w:rFonts w:ascii="Arial" w:hAnsi="Arial" w:cs="Arial"/>
          <w:vertAlign w:val="subscript"/>
        </w:rPr>
        <w:t>15,48</w:t>
      </w:r>
      <w:r w:rsidR="00AC1393">
        <w:rPr>
          <w:rFonts w:ascii="Arial" w:hAnsi="Arial" w:cs="Arial"/>
        </w:rPr>
        <w:t xml:space="preserve"> = 0.</w:t>
      </w:r>
      <w:r w:rsidR="00AC1393">
        <w:rPr>
          <w:rFonts w:ascii="Arial" w:hAnsi="Arial" w:cs="Arial"/>
        </w:rPr>
        <w:t>30</w:t>
      </w:r>
      <w:r w:rsidR="00AC1393">
        <w:rPr>
          <w:rFonts w:ascii="Arial" w:hAnsi="Arial" w:cs="Arial"/>
        </w:rPr>
        <w:t xml:space="preserve">; </w:t>
      </w:r>
      <w:r w:rsidR="00AC1393">
        <w:rPr>
          <w:rFonts w:ascii="Arial" w:hAnsi="Arial" w:cs="Arial"/>
          <w:i/>
          <w:iCs/>
        </w:rPr>
        <w:t>p</w:t>
      </w:r>
      <w:r w:rsidR="00AC1393">
        <w:rPr>
          <w:rFonts w:ascii="Arial" w:hAnsi="Arial" w:cs="Arial"/>
        </w:rPr>
        <w:t xml:space="preserve"> = 0.</w:t>
      </w:r>
      <w:r w:rsidR="00AC1393">
        <w:rPr>
          <w:rFonts w:ascii="Arial" w:hAnsi="Arial" w:cs="Arial"/>
        </w:rPr>
        <w:t>32</w:t>
      </w:r>
      <w:r w:rsidR="00AC1393">
        <w:rPr>
          <w:rFonts w:ascii="Arial" w:hAnsi="Arial" w:cs="Arial"/>
        </w:rPr>
        <w:t>)</w:t>
      </w:r>
      <w:r w:rsidR="00AC139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Cd</w:t>
      </w:r>
      <w:r w:rsidR="004E2D52">
        <w:rPr>
          <w:rFonts w:ascii="Arial" w:hAnsi="Arial" w:cs="Arial"/>
        </w:rPr>
        <w:t xml:space="preserve">, or low </w:t>
      </w:r>
      <w:proofErr w:type="spellStart"/>
      <w:r w:rsidR="004E2D52">
        <w:rPr>
          <w:rFonts w:ascii="Arial" w:hAnsi="Arial" w:cs="Arial"/>
        </w:rPr>
        <w:t>PFPeA</w:t>
      </w:r>
      <w:proofErr w:type="spellEnd"/>
      <w:r w:rsidR="004E2D52">
        <w:rPr>
          <w:rFonts w:ascii="Arial" w:hAnsi="Arial" w:cs="Arial"/>
        </w:rPr>
        <w:t xml:space="preserve"> </w:t>
      </w:r>
      <w:r w:rsidR="004E2D52">
        <w:rPr>
          <w:rFonts w:ascii="Arial" w:hAnsi="Arial" w:cs="Arial"/>
        </w:rPr>
        <w:t>(Z</w:t>
      </w:r>
      <w:r w:rsidR="004E2D52">
        <w:rPr>
          <w:rFonts w:ascii="Arial" w:hAnsi="Arial" w:cs="Arial"/>
          <w:vertAlign w:val="subscript"/>
        </w:rPr>
        <w:t>15,48</w:t>
      </w:r>
      <w:r w:rsidR="004E2D52">
        <w:rPr>
          <w:rFonts w:ascii="Arial" w:hAnsi="Arial" w:cs="Arial"/>
        </w:rPr>
        <w:t xml:space="preserve"> = 0.27; </w:t>
      </w:r>
      <w:r w:rsidR="004E2D52">
        <w:rPr>
          <w:rFonts w:ascii="Arial" w:hAnsi="Arial" w:cs="Arial"/>
          <w:i/>
          <w:iCs/>
        </w:rPr>
        <w:t>p</w:t>
      </w:r>
      <w:r w:rsidR="004E2D52">
        <w:rPr>
          <w:rFonts w:ascii="Arial" w:hAnsi="Arial" w:cs="Arial"/>
        </w:rPr>
        <w:t xml:space="preserve"> = 0.078</w:t>
      </w:r>
      <w:r w:rsidR="004E2D52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on </w:t>
      </w:r>
      <w:r w:rsidR="00BE205A">
        <w:rPr>
          <w:rFonts w:ascii="Arial" w:hAnsi="Arial" w:cs="Arial"/>
        </w:rPr>
        <w:t xml:space="preserve">bass </w:t>
      </w:r>
      <w:r>
        <w:rPr>
          <w:rFonts w:ascii="Arial" w:hAnsi="Arial" w:cs="Arial"/>
        </w:rPr>
        <w:t xml:space="preserve">NLR </w:t>
      </w:r>
      <w:r w:rsidR="004E2D52">
        <w:rPr>
          <w:rFonts w:ascii="Arial" w:hAnsi="Arial" w:cs="Arial"/>
        </w:rPr>
        <w:t xml:space="preserve">post toxin introduction </w:t>
      </w:r>
      <w:r w:rsidR="00AC1393">
        <w:rPr>
          <w:rFonts w:ascii="Arial" w:hAnsi="Arial" w:cs="Arial"/>
        </w:rPr>
        <w:t>(Figure 4).</w:t>
      </w:r>
      <w:r w:rsidR="004E2D52">
        <w:rPr>
          <w:rFonts w:ascii="Arial" w:hAnsi="Arial" w:cs="Arial"/>
        </w:rPr>
        <w:t xml:space="preserve"> However, high </w:t>
      </w:r>
      <w:proofErr w:type="spellStart"/>
      <w:r w:rsidR="004E2D52">
        <w:rPr>
          <w:rFonts w:ascii="Arial" w:hAnsi="Arial" w:cs="Arial"/>
        </w:rPr>
        <w:t>PFPeA</w:t>
      </w:r>
      <w:proofErr w:type="spellEnd"/>
      <w:r w:rsidR="004E2D52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 xml:space="preserve">bass </w:t>
      </w:r>
      <w:r w:rsidR="00DC5F12">
        <w:rPr>
          <w:rFonts w:ascii="Arial" w:hAnsi="Arial" w:cs="Arial"/>
        </w:rPr>
        <w:t xml:space="preserve">NLR </w:t>
      </w:r>
      <w:r w:rsidR="004E2D52">
        <w:rPr>
          <w:rFonts w:ascii="Arial" w:hAnsi="Arial" w:cs="Arial"/>
        </w:rPr>
        <w:t xml:space="preserve">increased 212% (79–444%; </w:t>
      </w:r>
      <w:r w:rsidR="003545BE">
        <w:rPr>
          <w:rFonts w:ascii="Arial" w:hAnsi="Arial" w:cs="Arial"/>
        </w:rPr>
        <w:t xml:space="preserve">95% CL) from blood 1 to blood 2 </w:t>
      </w:r>
      <w:r w:rsidR="003545BE">
        <w:rPr>
          <w:rFonts w:ascii="Arial" w:hAnsi="Arial" w:cs="Arial"/>
        </w:rPr>
        <w:t>(Z</w:t>
      </w:r>
      <w:r w:rsidR="003545BE">
        <w:rPr>
          <w:rFonts w:ascii="Arial" w:hAnsi="Arial" w:cs="Arial"/>
          <w:vertAlign w:val="subscript"/>
        </w:rPr>
        <w:t>15,48</w:t>
      </w:r>
      <w:r w:rsidR="003545BE">
        <w:rPr>
          <w:rFonts w:ascii="Arial" w:hAnsi="Arial" w:cs="Arial"/>
        </w:rPr>
        <w:t xml:space="preserve"> = 0.</w:t>
      </w:r>
      <w:r w:rsidR="003545BE">
        <w:rPr>
          <w:rFonts w:ascii="Arial" w:hAnsi="Arial" w:cs="Arial"/>
        </w:rPr>
        <w:t>28</w:t>
      </w:r>
      <w:r w:rsidR="003545BE">
        <w:rPr>
          <w:rFonts w:ascii="Arial" w:hAnsi="Arial" w:cs="Arial"/>
        </w:rPr>
        <w:t xml:space="preserve">; </w:t>
      </w:r>
      <w:r w:rsidR="003545BE">
        <w:rPr>
          <w:rFonts w:ascii="Arial" w:hAnsi="Arial" w:cs="Arial"/>
          <w:i/>
          <w:iCs/>
        </w:rPr>
        <w:t>p</w:t>
      </w:r>
      <w:r w:rsidR="003545BE">
        <w:rPr>
          <w:rFonts w:ascii="Arial" w:hAnsi="Arial" w:cs="Arial"/>
        </w:rPr>
        <w:t xml:space="preserve"> </w:t>
      </w:r>
      <w:r w:rsidR="003545BE">
        <w:rPr>
          <w:rFonts w:ascii="Arial" w:hAnsi="Arial" w:cs="Arial"/>
        </w:rPr>
        <w:t>&lt; 0.001; Figure 4</w:t>
      </w:r>
      <w:r w:rsidR="003545BE">
        <w:rPr>
          <w:rFonts w:ascii="Arial" w:hAnsi="Arial" w:cs="Arial"/>
        </w:rPr>
        <w:t>)</w:t>
      </w:r>
      <w:r w:rsidR="003545BE">
        <w:rPr>
          <w:rFonts w:ascii="Arial" w:hAnsi="Arial" w:cs="Arial"/>
        </w:rPr>
        <w:t>.</w:t>
      </w:r>
      <w:r w:rsidR="00DC5F12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 xml:space="preserve">High </w:t>
      </w:r>
      <w:proofErr w:type="spellStart"/>
      <w:r w:rsidR="00BE205A">
        <w:rPr>
          <w:rFonts w:ascii="Arial" w:hAnsi="Arial" w:cs="Arial"/>
        </w:rPr>
        <w:t>PFPeA</w:t>
      </w:r>
      <w:proofErr w:type="spellEnd"/>
      <w:r w:rsidR="00BE205A">
        <w:rPr>
          <w:rFonts w:ascii="Arial" w:hAnsi="Arial" w:cs="Arial"/>
        </w:rPr>
        <w:t xml:space="preserve"> bass NLR increased </w:t>
      </w:r>
      <w:r w:rsidR="00BE205A">
        <w:rPr>
          <w:rFonts w:ascii="Arial" w:hAnsi="Arial" w:cs="Arial"/>
        </w:rPr>
        <w:lastRenderedPageBreak/>
        <w:t>significantly more than all other groups from blood 1 to blood 2: 201% (37–559%; 95% CL), 195% (42–513%),</w:t>
      </w:r>
      <w:r w:rsidR="00BE205A" w:rsidRPr="00BE205A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>133% (3–429%)</w:t>
      </w:r>
      <w:r w:rsidR="00BE205A">
        <w:rPr>
          <w:rFonts w:ascii="Arial" w:hAnsi="Arial" w:cs="Arial"/>
        </w:rPr>
        <w:t>,</w:t>
      </w:r>
      <w:r w:rsidR="00BE205A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 xml:space="preserve">and 407% (134–996%) more than control </w:t>
      </w:r>
      <w:r w:rsidR="00BE205A">
        <w:rPr>
          <w:rFonts w:ascii="Arial" w:hAnsi="Arial" w:cs="Arial"/>
        </w:rPr>
        <w:t>(Z</w:t>
      </w:r>
      <w:r w:rsidR="00BE205A">
        <w:rPr>
          <w:rFonts w:ascii="Arial" w:hAnsi="Arial" w:cs="Arial"/>
          <w:vertAlign w:val="subscript"/>
        </w:rPr>
        <w:t>15,48</w:t>
      </w:r>
      <w:r w:rsidR="00BE205A">
        <w:rPr>
          <w:rFonts w:ascii="Arial" w:hAnsi="Arial" w:cs="Arial"/>
        </w:rPr>
        <w:t xml:space="preserve"> = </w:t>
      </w:r>
      <w:r w:rsidR="00BE205A">
        <w:rPr>
          <w:rFonts w:ascii="Arial" w:hAnsi="Arial" w:cs="Arial"/>
        </w:rPr>
        <w:t>-2.75</w:t>
      </w:r>
      <w:r w:rsidR="00BE205A">
        <w:rPr>
          <w:rFonts w:ascii="Arial" w:hAnsi="Arial" w:cs="Arial"/>
        </w:rPr>
        <w:t xml:space="preserve">; </w:t>
      </w:r>
      <w:r w:rsidR="00BE205A">
        <w:rPr>
          <w:rFonts w:ascii="Arial" w:hAnsi="Arial" w:cs="Arial"/>
          <w:i/>
          <w:iCs/>
        </w:rPr>
        <w:t>p</w:t>
      </w:r>
      <w:r w:rsidR="00BE205A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>=</w:t>
      </w:r>
      <w:r w:rsidR="00BE205A">
        <w:rPr>
          <w:rFonts w:ascii="Arial" w:hAnsi="Arial" w:cs="Arial"/>
        </w:rPr>
        <w:t xml:space="preserve"> 0.00</w:t>
      </w:r>
      <w:r w:rsidR="00BE205A">
        <w:rPr>
          <w:rFonts w:ascii="Arial" w:hAnsi="Arial" w:cs="Arial"/>
        </w:rPr>
        <w:t xml:space="preserve">59), low Cd </w:t>
      </w:r>
      <w:r w:rsidR="00BE205A">
        <w:rPr>
          <w:rFonts w:ascii="Arial" w:hAnsi="Arial" w:cs="Arial"/>
        </w:rPr>
        <w:t>(Z</w:t>
      </w:r>
      <w:r w:rsidR="00BE205A">
        <w:rPr>
          <w:rFonts w:ascii="Arial" w:hAnsi="Arial" w:cs="Arial"/>
          <w:vertAlign w:val="subscript"/>
        </w:rPr>
        <w:t>15,48</w:t>
      </w:r>
      <w:r w:rsidR="00BE205A">
        <w:rPr>
          <w:rFonts w:ascii="Arial" w:hAnsi="Arial" w:cs="Arial"/>
        </w:rPr>
        <w:t xml:space="preserve"> = -2.</w:t>
      </w:r>
      <w:r w:rsidR="00BE205A">
        <w:rPr>
          <w:rFonts w:ascii="Arial" w:hAnsi="Arial" w:cs="Arial"/>
        </w:rPr>
        <w:t>90</w:t>
      </w:r>
      <w:r w:rsidR="00BE205A">
        <w:rPr>
          <w:rFonts w:ascii="Arial" w:hAnsi="Arial" w:cs="Arial"/>
        </w:rPr>
        <w:t xml:space="preserve">; </w:t>
      </w:r>
      <w:r w:rsidR="00BE205A">
        <w:rPr>
          <w:rFonts w:ascii="Arial" w:hAnsi="Arial" w:cs="Arial"/>
          <w:i/>
          <w:iCs/>
        </w:rPr>
        <w:t>p</w:t>
      </w:r>
      <w:r w:rsidR="00BE205A">
        <w:rPr>
          <w:rFonts w:ascii="Arial" w:hAnsi="Arial" w:cs="Arial"/>
        </w:rPr>
        <w:t xml:space="preserve"> = 0.00</w:t>
      </w:r>
      <w:r w:rsidR="00BE205A">
        <w:rPr>
          <w:rFonts w:ascii="Arial" w:hAnsi="Arial" w:cs="Arial"/>
        </w:rPr>
        <w:t>37</w:t>
      </w:r>
      <w:r w:rsidR="00BE205A">
        <w:rPr>
          <w:rFonts w:ascii="Arial" w:hAnsi="Arial" w:cs="Arial"/>
        </w:rPr>
        <w:t>)</w:t>
      </w:r>
      <w:r w:rsidR="00BE205A">
        <w:rPr>
          <w:rFonts w:ascii="Arial" w:hAnsi="Arial" w:cs="Arial"/>
        </w:rPr>
        <w:t xml:space="preserve">, high Cd </w:t>
      </w:r>
      <w:r w:rsidR="00BE205A">
        <w:rPr>
          <w:rFonts w:ascii="Arial" w:hAnsi="Arial" w:cs="Arial"/>
        </w:rPr>
        <w:t>(Z</w:t>
      </w:r>
      <w:r w:rsidR="00BE205A">
        <w:rPr>
          <w:rFonts w:ascii="Arial" w:hAnsi="Arial" w:cs="Arial"/>
          <w:vertAlign w:val="subscript"/>
        </w:rPr>
        <w:t>15,48</w:t>
      </w:r>
      <w:r w:rsidR="00BE205A">
        <w:rPr>
          <w:rFonts w:ascii="Arial" w:hAnsi="Arial" w:cs="Arial"/>
        </w:rPr>
        <w:t xml:space="preserve"> = -</w:t>
      </w:r>
      <w:r w:rsidR="00BE205A">
        <w:rPr>
          <w:rFonts w:ascii="Arial" w:hAnsi="Arial" w:cs="Arial"/>
        </w:rPr>
        <w:t>2.03</w:t>
      </w:r>
      <w:r w:rsidR="00BE205A">
        <w:rPr>
          <w:rFonts w:ascii="Arial" w:hAnsi="Arial" w:cs="Arial"/>
        </w:rPr>
        <w:t xml:space="preserve">; </w:t>
      </w:r>
      <w:r w:rsidR="00BE205A">
        <w:rPr>
          <w:rFonts w:ascii="Arial" w:hAnsi="Arial" w:cs="Arial"/>
          <w:i/>
          <w:iCs/>
        </w:rPr>
        <w:t>p</w:t>
      </w:r>
      <w:r w:rsidR="00BE205A">
        <w:rPr>
          <w:rFonts w:ascii="Arial" w:hAnsi="Arial" w:cs="Arial"/>
        </w:rPr>
        <w:t xml:space="preserve"> = 0.0</w:t>
      </w:r>
      <w:r w:rsidR="00BE205A">
        <w:rPr>
          <w:rFonts w:ascii="Arial" w:hAnsi="Arial" w:cs="Arial"/>
        </w:rPr>
        <w:t>42</w:t>
      </w:r>
      <w:r w:rsidR="00BE205A">
        <w:rPr>
          <w:rFonts w:ascii="Arial" w:hAnsi="Arial" w:cs="Arial"/>
        </w:rPr>
        <w:t>)</w:t>
      </w:r>
      <w:r w:rsidR="00BE205A">
        <w:rPr>
          <w:rFonts w:ascii="Arial" w:hAnsi="Arial" w:cs="Arial"/>
        </w:rPr>
        <w:t xml:space="preserve">, and low </w:t>
      </w:r>
      <w:proofErr w:type="spellStart"/>
      <w:r w:rsidR="00BE205A">
        <w:rPr>
          <w:rFonts w:ascii="Arial" w:hAnsi="Arial" w:cs="Arial"/>
        </w:rPr>
        <w:t>PFPeA</w:t>
      </w:r>
      <w:proofErr w:type="spellEnd"/>
      <w:r w:rsidR="00BE205A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>(Z</w:t>
      </w:r>
      <w:r w:rsidR="00BE205A">
        <w:rPr>
          <w:rFonts w:ascii="Arial" w:hAnsi="Arial" w:cs="Arial"/>
          <w:vertAlign w:val="subscript"/>
        </w:rPr>
        <w:t>15,48</w:t>
      </w:r>
      <w:r w:rsidR="00BE205A">
        <w:rPr>
          <w:rFonts w:ascii="Arial" w:hAnsi="Arial" w:cs="Arial"/>
        </w:rPr>
        <w:t xml:space="preserve"> = -</w:t>
      </w:r>
      <w:r w:rsidR="00BE205A">
        <w:rPr>
          <w:rFonts w:ascii="Arial" w:hAnsi="Arial" w:cs="Arial"/>
        </w:rPr>
        <w:t>4.13</w:t>
      </w:r>
      <w:r w:rsidR="00BE205A">
        <w:rPr>
          <w:rFonts w:ascii="Arial" w:hAnsi="Arial" w:cs="Arial"/>
        </w:rPr>
        <w:t xml:space="preserve">; </w:t>
      </w:r>
      <w:r w:rsidR="00BE205A">
        <w:rPr>
          <w:rFonts w:ascii="Arial" w:hAnsi="Arial" w:cs="Arial"/>
          <w:i/>
          <w:iCs/>
        </w:rPr>
        <w:t>p</w:t>
      </w:r>
      <w:r w:rsidR="00BE205A">
        <w:rPr>
          <w:rFonts w:ascii="Arial" w:hAnsi="Arial" w:cs="Arial"/>
        </w:rPr>
        <w:t xml:space="preserve"> </w:t>
      </w:r>
      <w:r w:rsidR="00BE205A">
        <w:rPr>
          <w:rFonts w:ascii="Arial" w:hAnsi="Arial" w:cs="Arial"/>
        </w:rPr>
        <w:t>&lt; 0.001</w:t>
      </w:r>
      <w:r w:rsidR="00BE205A">
        <w:rPr>
          <w:rFonts w:ascii="Arial" w:hAnsi="Arial" w:cs="Arial"/>
        </w:rPr>
        <w:t>)</w:t>
      </w:r>
      <w:r w:rsidR="00CD1F0F">
        <w:rPr>
          <w:rFonts w:ascii="Arial" w:hAnsi="Arial" w:cs="Arial"/>
        </w:rPr>
        <w:t xml:space="preserve"> bass, respectively (Figure 4)</w:t>
      </w:r>
      <w:r w:rsidR="00BE205A">
        <w:rPr>
          <w:rFonts w:ascii="Arial" w:hAnsi="Arial" w:cs="Arial"/>
        </w:rPr>
        <w:t>.</w:t>
      </w:r>
    </w:p>
    <w:p w14:paraId="0574ED57" w14:textId="4AD503F6" w:rsidR="00AC1393" w:rsidRPr="00AC1393" w:rsidRDefault="00CD1F0F" w:rsidP="008F6D79">
      <w:pPr>
        <w:spacing w:line="48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We then assessed the effect of a known environmental stressor (abrupt salinity increase) on NLR in bass by examining NLR shifts between blood samples 2 (day 14) and 3 (day 15)</w:t>
      </w:r>
    </w:p>
    <w:p w14:paraId="0DF773DB" w14:textId="5DF4E3B9" w:rsidR="008D4890" w:rsidRDefault="008D4890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(2) the interaction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between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treatment effects and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influence of the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introduced environmental stressor on NLR (objective 2), and (3)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variation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in NLR among groups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exposed to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 persistent environmental stressor (objective 3).</w:t>
      </w:r>
    </w:p>
    <w:p w14:paraId="01377D82" w14:textId="73D0164D" w:rsidR="008D4890" w:rsidRDefault="008D4890" w:rsidP="00122893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We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evaluat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ed our objectives by examining specific beta coefficient estimates within the GLMM: (objective 2)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the slope of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each treatment line between blood 2 and blood 3, and (objective 3)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the slope of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each treatment line between blood 3 and blood 4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 well as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each treatment’s mean at blood 4</w:t>
      </w:r>
    </w:p>
    <w:p w14:paraId="549D6A89" w14:textId="77777777" w:rsidR="008D4890" w:rsidRDefault="008D4890" w:rsidP="00122893">
      <w:pPr>
        <w:spacing w:line="480" w:lineRule="auto"/>
        <w:rPr>
          <w:rFonts w:ascii="Arial" w:hAnsi="Arial" w:cs="Arial"/>
        </w:rPr>
      </w:pPr>
    </w:p>
    <w:p w14:paraId="78D60CA5" w14:textId="73847D96" w:rsidR="00991BBD" w:rsidRDefault="00991BBD" w:rsidP="00122893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#. Tables</w:t>
      </w:r>
    </w:p>
    <w:p w14:paraId="1A2605D4" w14:textId="3613CDAE" w:rsidR="00991BBD" w:rsidRDefault="00991BBD" w:rsidP="00122893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Table 1. </w:t>
      </w:r>
      <w:r w:rsidR="000A4FC5">
        <w:rPr>
          <w:rFonts w:ascii="Arial" w:hAnsi="Arial" w:cs="Arial"/>
        </w:rPr>
        <w:t>Water quality summary</w:t>
      </w:r>
      <w:r>
        <w:rPr>
          <w:rFonts w:ascii="Arial" w:hAnsi="Arial" w:cs="Arial"/>
        </w:rPr>
        <w:t xml:space="preserve"> </w:t>
      </w:r>
      <w:r w:rsidR="000A4FC5">
        <w:rPr>
          <w:rFonts w:ascii="Arial" w:hAnsi="Arial" w:cs="Arial"/>
        </w:rPr>
        <w:t>statistics</w:t>
      </w:r>
      <w:r>
        <w:rPr>
          <w:rFonts w:ascii="Arial" w:hAnsi="Arial" w:cs="Arial"/>
        </w:rPr>
        <w:t xml:space="preserve"> </w:t>
      </w:r>
      <w:r w:rsidR="000A4FC5">
        <w:rPr>
          <w:rFonts w:ascii="Arial" w:hAnsi="Arial" w:cs="Arial"/>
        </w:rPr>
        <w:t>(minimum</w:t>
      </w:r>
      <w:r w:rsidR="00AB131F">
        <w:rPr>
          <w:rFonts w:ascii="Arial" w:hAnsi="Arial" w:cs="Arial"/>
        </w:rPr>
        <w:t xml:space="preserve"> [min]</w:t>
      </w:r>
      <w:r w:rsidR="000A4FC5">
        <w:rPr>
          <w:rFonts w:ascii="Arial" w:hAnsi="Arial" w:cs="Arial"/>
        </w:rPr>
        <w:t>, mean, maximum</w:t>
      </w:r>
      <w:r w:rsidR="00AB131F">
        <w:rPr>
          <w:rFonts w:ascii="Arial" w:hAnsi="Arial" w:cs="Arial"/>
        </w:rPr>
        <w:t xml:space="preserve"> [max]</w:t>
      </w:r>
      <w:r w:rsidR="000A4FC5">
        <w:rPr>
          <w:rFonts w:ascii="Arial" w:hAnsi="Arial" w:cs="Arial"/>
        </w:rPr>
        <w:t>, and 95% confidence intervals</w:t>
      </w:r>
      <w:r w:rsidR="00AB131F">
        <w:rPr>
          <w:rFonts w:ascii="Arial" w:hAnsi="Arial" w:cs="Arial"/>
        </w:rPr>
        <w:t xml:space="preserve"> [CI]</w:t>
      </w:r>
      <w:r w:rsidR="000A4FC5">
        <w:rPr>
          <w:rFonts w:ascii="Arial" w:hAnsi="Arial" w:cs="Arial"/>
        </w:rPr>
        <w:t xml:space="preserve">) </w:t>
      </w:r>
      <w:r>
        <w:rPr>
          <w:rFonts w:ascii="Arial" w:hAnsi="Arial" w:cs="Arial"/>
        </w:rPr>
        <w:t>among aquaculture tanks throughout the study</w:t>
      </w:r>
      <w:r w:rsidR="00A16CA8">
        <w:rPr>
          <w:rFonts w:ascii="Arial" w:hAnsi="Arial" w:cs="Arial"/>
        </w:rPr>
        <w:t xml:space="preserve"> (</w:t>
      </w:r>
      <w:r w:rsidR="000A4FC5">
        <w:rPr>
          <w:rFonts w:ascii="Arial" w:hAnsi="Arial" w:cs="Arial"/>
        </w:rPr>
        <w:t xml:space="preserve">see </w:t>
      </w:r>
      <w:r w:rsidR="00A16CA8">
        <w:rPr>
          <w:rFonts w:ascii="Arial" w:hAnsi="Arial" w:cs="Arial"/>
        </w:rPr>
        <w:t>Figure 3)</w:t>
      </w:r>
      <w:r>
        <w:rPr>
          <w:rFonts w:ascii="Arial" w:hAnsi="Arial" w:cs="Arial"/>
        </w:rPr>
        <w:t xml:space="preserve">. </w:t>
      </w:r>
      <w:r w:rsidR="00E22878">
        <w:rPr>
          <w:rFonts w:ascii="Arial" w:hAnsi="Arial" w:cs="Arial"/>
        </w:rPr>
        <w:t>The w</w:t>
      </w:r>
      <w:r w:rsidR="00C14026">
        <w:rPr>
          <w:rFonts w:ascii="Arial" w:hAnsi="Arial" w:cs="Arial"/>
        </w:rPr>
        <w:t xml:space="preserve">ater quality variables included 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>temperature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(</w:t>
      </w:r>
      <w:r w:rsidR="00AB131F">
        <w:rPr>
          <w:rFonts w:ascii="Arial" w:eastAsia="Times New Roman" w:hAnsi="Arial" w:cs="Arial"/>
          <w:color w:val="000000"/>
          <w:kern w:val="0"/>
          <w14:ligatures w14:val="none"/>
        </w:rPr>
        <w:t xml:space="preserve">temp; 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°C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>), dissolved oxygen (</w:t>
      </w:r>
      <w:r w:rsidR="00AB131F">
        <w:rPr>
          <w:rFonts w:ascii="Arial" w:eastAsia="Times New Roman" w:hAnsi="Arial" w:cs="Arial"/>
          <w:color w:val="000000"/>
          <w:kern w:val="0"/>
          <w14:ligatures w14:val="none"/>
        </w:rPr>
        <w:t xml:space="preserve">DO; 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>mg/L), pH, and salinity (ppt)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E22878">
        <w:rPr>
          <w:rFonts w:ascii="Arial" w:eastAsia="Times New Roman" w:hAnsi="Arial" w:cs="Arial"/>
          <w:color w:val="000000"/>
          <w:kern w:val="0"/>
          <w14:ligatures w14:val="none"/>
        </w:rPr>
        <w:t>measur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ed 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>using a YSI Pro DSS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. Note that “Pre-Salt” </w:t>
      </w:r>
      <w:r w:rsidR="00E22878">
        <w:rPr>
          <w:rFonts w:ascii="Arial" w:eastAsia="Times New Roman" w:hAnsi="Arial" w:cs="Arial"/>
          <w:color w:val="000000"/>
          <w:kern w:val="0"/>
          <w14:ligatures w14:val="none"/>
        </w:rPr>
        <w:t>refers to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>all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samples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E22878">
        <w:rPr>
          <w:rFonts w:ascii="Arial" w:eastAsia="Times New Roman" w:hAnsi="Arial" w:cs="Arial"/>
          <w:color w:val="000000"/>
          <w:kern w:val="0"/>
          <w14:ligatures w14:val="none"/>
        </w:rPr>
        <w:t>collected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before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 xml:space="preserve">the </w:t>
      </w:r>
      <w:r w:rsidR="00E22878">
        <w:rPr>
          <w:rFonts w:ascii="Arial" w:eastAsia="Times New Roman" w:hAnsi="Arial" w:cs="Arial"/>
          <w:color w:val="000000"/>
          <w:kern w:val="0"/>
          <w14:ligatures w14:val="none"/>
        </w:rPr>
        <w:t>salinity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E22878">
        <w:rPr>
          <w:rFonts w:ascii="Arial" w:eastAsia="Times New Roman" w:hAnsi="Arial" w:cs="Arial"/>
          <w:color w:val="000000"/>
          <w:kern w:val="0"/>
          <w14:ligatures w14:val="none"/>
        </w:rPr>
        <w:t>increase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(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>days 2, 3, 10, 11, 14, and 15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while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“</w:t>
      </w:r>
      <w:proofErr w:type="gramStart"/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Post-Salt</w:t>
      </w:r>
      <w:proofErr w:type="gramEnd"/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” </w:t>
      </w:r>
      <w:r w:rsidR="00E22878">
        <w:rPr>
          <w:rFonts w:ascii="Arial" w:eastAsia="Times New Roman" w:hAnsi="Arial" w:cs="Arial"/>
          <w:color w:val="000000"/>
          <w:kern w:val="0"/>
          <w14:ligatures w14:val="none"/>
        </w:rPr>
        <w:t>denotes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the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samples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from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day 17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which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>confirm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ed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</w:t>
      </w:r>
      <w:r w:rsidR="00C14026" w:rsidRPr="00122893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intentional salinity increase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 w:rsidR="00A16CA8">
        <w:rPr>
          <w:rFonts w:ascii="Arial" w:eastAsia="Times New Roman" w:hAnsi="Arial" w:cs="Arial"/>
          <w:color w:val="000000"/>
          <w:kern w:val="0"/>
          <w14:ligatures w14:val="none"/>
        </w:rPr>
        <w:t xml:space="preserve"> All numeric values </w:t>
      </w:r>
      <w:r w:rsidR="000A4FC5">
        <w:rPr>
          <w:rFonts w:ascii="Arial" w:eastAsia="Times New Roman" w:hAnsi="Arial" w:cs="Arial"/>
          <w:color w:val="000000"/>
          <w:kern w:val="0"/>
          <w14:ligatures w14:val="none"/>
        </w:rPr>
        <w:t xml:space="preserve">are maintained to at least two decimal places while preserving </w:t>
      </w:r>
      <w:r w:rsidR="00A16CA8">
        <w:rPr>
          <w:rFonts w:ascii="Arial" w:eastAsia="Times New Roman" w:hAnsi="Arial" w:cs="Arial"/>
          <w:color w:val="000000"/>
          <w:kern w:val="0"/>
          <w14:ligatures w14:val="none"/>
        </w:rPr>
        <w:t>two significant figures.</w:t>
      </w:r>
      <w:r w:rsidR="00C14026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</w:p>
    <w:tbl>
      <w:tblPr>
        <w:tblStyle w:val="TableGrid"/>
        <w:tblW w:w="0" w:type="auto"/>
        <w:jc w:val="center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</w:tblGrid>
      <w:tr w:rsidR="00C14026" w:rsidRPr="00C14026" w14:paraId="27DE0552" w14:textId="77777777" w:rsidTr="00A16CA8">
        <w:trPr>
          <w:trHeight w:val="360"/>
          <w:jc w:val="center"/>
        </w:trPr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F0963" w14:textId="5F3D2C46" w:rsidR="00C14026" w:rsidRPr="00C14026" w:rsidRDefault="00C14026" w:rsidP="00C140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Variable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E81420" w14:textId="215D08F8" w:rsidR="00C14026" w:rsidRPr="00C14026" w:rsidRDefault="00C14026" w:rsidP="00C140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Min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58DE86" w14:textId="329E15BD" w:rsidR="00C14026" w:rsidRPr="00C14026" w:rsidRDefault="00C14026" w:rsidP="00C140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Mean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D9EC8" w14:textId="699D1D05" w:rsidR="00C14026" w:rsidRPr="00C14026" w:rsidRDefault="00C14026" w:rsidP="00C140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Max</w:t>
            </w: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A15245" w14:textId="73D1C1EA" w:rsidR="00C14026" w:rsidRPr="00C14026" w:rsidRDefault="00C14026" w:rsidP="00C140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95% CI</w:t>
            </w:r>
          </w:p>
        </w:tc>
      </w:tr>
      <w:tr w:rsidR="00C14026" w:rsidRPr="00C14026" w14:paraId="7B2969DF" w14:textId="77777777" w:rsidTr="00A16CA8">
        <w:trPr>
          <w:trHeight w:val="360"/>
          <w:jc w:val="center"/>
        </w:trPr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0B7EF5FB" w14:textId="291F7C1C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Temp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20AF53D6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012FEE52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26D66E65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0B55F1C9" w14:textId="5C84CD2F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±</w:t>
            </w:r>
          </w:p>
        </w:tc>
      </w:tr>
      <w:tr w:rsidR="00C14026" w:rsidRPr="00C14026" w14:paraId="266BCF73" w14:textId="77777777" w:rsidTr="00A16CA8">
        <w:trPr>
          <w:trHeight w:val="360"/>
          <w:jc w:val="center"/>
        </w:trPr>
        <w:tc>
          <w:tcPr>
            <w:tcW w:w="1440" w:type="dxa"/>
            <w:vAlign w:val="center"/>
          </w:tcPr>
          <w:p w14:paraId="7ECF7AE5" w14:textId="792D24B5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DO</w:t>
            </w:r>
          </w:p>
        </w:tc>
        <w:tc>
          <w:tcPr>
            <w:tcW w:w="1440" w:type="dxa"/>
            <w:vAlign w:val="center"/>
          </w:tcPr>
          <w:p w14:paraId="78AA9468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30C454E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8CB8DFD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4412F5C8" w14:textId="6DC061F5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±</w:t>
            </w:r>
          </w:p>
        </w:tc>
      </w:tr>
      <w:tr w:rsidR="00C14026" w:rsidRPr="00C14026" w14:paraId="26CC574F" w14:textId="77777777" w:rsidTr="00A16CA8">
        <w:trPr>
          <w:trHeight w:val="360"/>
          <w:jc w:val="center"/>
        </w:trPr>
        <w:tc>
          <w:tcPr>
            <w:tcW w:w="1440" w:type="dxa"/>
            <w:vAlign w:val="center"/>
          </w:tcPr>
          <w:p w14:paraId="110247CC" w14:textId="404BCC53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pH</w:t>
            </w:r>
          </w:p>
        </w:tc>
        <w:tc>
          <w:tcPr>
            <w:tcW w:w="1440" w:type="dxa"/>
            <w:vAlign w:val="center"/>
          </w:tcPr>
          <w:p w14:paraId="1F89087F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717AA21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1E6A475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583FE8A1" w14:textId="087AE4B3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±</w:t>
            </w:r>
          </w:p>
        </w:tc>
      </w:tr>
      <w:tr w:rsidR="00C14026" w:rsidRPr="00C14026" w14:paraId="6FFFEDB2" w14:textId="77777777" w:rsidTr="00A16CA8">
        <w:trPr>
          <w:trHeight w:val="360"/>
          <w:jc w:val="center"/>
        </w:trPr>
        <w:tc>
          <w:tcPr>
            <w:tcW w:w="1440" w:type="dxa"/>
            <w:tcBorders>
              <w:bottom w:val="nil"/>
            </w:tcBorders>
            <w:vAlign w:val="center"/>
          </w:tcPr>
          <w:p w14:paraId="083E3DFB" w14:textId="389E3DDA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Pre-Salt</w:t>
            </w:r>
          </w:p>
        </w:tc>
        <w:tc>
          <w:tcPr>
            <w:tcW w:w="1440" w:type="dxa"/>
            <w:tcBorders>
              <w:bottom w:val="nil"/>
            </w:tcBorders>
            <w:vAlign w:val="center"/>
          </w:tcPr>
          <w:p w14:paraId="56DC7636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bottom w:val="nil"/>
            </w:tcBorders>
            <w:vAlign w:val="center"/>
          </w:tcPr>
          <w:p w14:paraId="62AFE003" w14:textId="6DA02A5E" w:rsidR="00C14026" w:rsidRPr="00C14026" w:rsidRDefault="00A16CA8" w:rsidP="00C1402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0.13</w:t>
            </w:r>
          </w:p>
        </w:tc>
        <w:tc>
          <w:tcPr>
            <w:tcW w:w="1440" w:type="dxa"/>
            <w:tcBorders>
              <w:bottom w:val="nil"/>
            </w:tcBorders>
            <w:vAlign w:val="center"/>
          </w:tcPr>
          <w:p w14:paraId="1031D099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bottom w:val="nil"/>
            </w:tcBorders>
            <w:vAlign w:val="center"/>
          </w:tcPr>
          <w:p w14:paraId="621C3A92" w14:textId="5508313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±</w:t>
            </w:r>
            <w:r w:rsidR="00A16CA8">
              <w:rPr>
                <w:rFonts w:ascii="Arial" w:hAnsi="Arial" w:cs="Arial"/>
                <w:sz w:val="20"/>
                <w:szCs w:val="20"/>
              </w:rPr>
              <w:t>0.0024</w:t>
            </w:r>
          </w:p>
        </w:tc>
      </w:tr>
      <w:tr w:rsidR="00C14026" w:rsidRPr="00C14026" w14:paraId="44AD7DD1" w14:textId="77777777" w:rsidTr="00A16CA8">
        <w:trPr>
          <w:trHeight w:val="360"/>
          <w:jc w:val="center"/>
        </w:trPr>
        <w:tc>
          <w:tcPr>
            <w:tcW w:w="1440" w:type="dxa"/>
            <w:tcBorders>
              <w:top w:val="nil"/>
              <w:bottom w:val="single" w:sz="4" w:space="0" w:color="auto"/>
            </w:tcBorders>
            <w:vAlign w:val="center"/>
          </w:tcPr>
          <w:p w14:paraId="484EACC4" w14:textId="1D96461D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Post-Salt</w:t>
            </w:r>
          </w:p>
        </w:tc>
        <w:tc>
          <w:tcPr>
            <w:tcW w:w="1440" w:type="dxa"/>
            <w:tcBorders>
              <w:top w:val="nil"/>
              <w:bottom w:val="single" w:sz="4" w:space="0" w:color="auto"/>
            </w:tcBorders>
            <w:vAlign w:val="center"/>
          </w:tcPr>
          <w:p w14:paraId="0D46B2A6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nil"/>
              <w:bottom w:val="single" w:sz="4" w:space="0" w:color="auto"/>
            </w:tcBorders>
            <w:vAlign w:val="center"/>
          </w:tcPr>
          <w:p w14:paraId="6C403CCE" w14:textId="63A1BEF2" w:rsidR="00C14026" w:rsidRPr="00C14026" w:rsidRDefault="00A16CA8" w:rsidP="00C1402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4.96</w:t>
            </w:r>
          </w:p>
        </w:tc>
        <w:tc>
          <w:tcPr>
            <w:tcW w:w="1440" w:type="dxa"/>
            <w:tcBorders>
              <w:top w:val="nil"/>
              <w:bottom w:val="single" w:sz="4" w:space="0" w:color="auto"/>
            </w:tcBorders>
            <w:vAlign w:val="center"/>
          </w:tcPr>
          <w:p w14:paraId="77699502" w14:textId="77777777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nil"/>
              <w:bottom w:val="single" w:sz="4" w:space="0" w:color="auto"/>
            </w:tcBorders>
            <w:vAlign w:val="center"/>
          </w:tcPr>
          <w:p w14:paraId="28865667" w14:textId="3E88684F" w:rsidR="00C14026" w:rsidRPr="00C14026" w:rsidRDefault="00C14026" w:rsidP="00C14026">
            <w:pPr>
              <w:rPr>
                <w:rFonts w:ascii="Arial" w:hAnsi="Arial" w:cs="Arial"/>
                <w:sz w:val="20"/>
                <w:szCs w:val="20"/>
              </w:rPr>
            </w:pPr>
            <w:r w:rsidRPr="00C14026">
              <w:rPr>
                <w:rFonts w:ascii="Arial" w:hAnsi="Arial" w:cs="Arial"/>
                <w:sz w:val="20"/>
                <w:szCs w:val="20"/>
              </w:rPr>
              <w:t>±</w:t>
            </w:r>
            <w:r w:rsidR="00A16CA8">
              <w:rPr>
                <w:rFonts w:ascii="Arial" w:hAnsi="Arial" w:cs="Arial"/>
                <w:sz w:val="20"/>
                <w:szCs w:val="20"/>
              </w:rPr>
              <w:t>0.099</w:t>
            </w:r>
          </w:p>
        </w:tc>
      </w:tr>
    </w:tbl>
    <w:p w14:paraId="5C572EE6" w14:textId="77777777" w:rsidR="00991BBD" w:rsidRDefault="00991BBD" w:rsidP="00122893">
      <w:pPr>
        <w:spacing w:line="480" w:lineRule="auto"/>
        <w:rPr>
          <w:rFonts w:ascii="Arial" w:hAnsi="Arial" w:cs="Arial"/>
        </w:rPr>
      </w:pPr>
    </w:p>
    <w:p w14:paraId="78E57F79" w14:textId="77777777" w:rsidR="00991BBD" w:rsidRDefault="00991BBD" w:rsidP="00122893">
      <w:pPr>
        <w:spacing w:line="480" w:lineRule="auto"/>
        <w:rPr>
          <w:rFonts w:ascii="Arial" w:hAnsi="Arial" w:cs="Arial"/>
        </w:rPr>
      </w:pPr>
    </w:p>
    <w:p w14:paraId="59821F11" w14:textId="31377903" w:rsidR="00991BBD" w:rsidRPr="00991BBD" w:rsidRDefault="00991BBD" w:rsidP="00122893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#. Figures</w:t>
      </w:r>
    </w:p>
    <w:p w14:paraId="5CDD4D0B" w14:textId="58517E30" w:rsidR="00CD5079" w:rsidRDefault="00CD5079" w:rsidP="00CD5079">
      <w:pPr>
        <w:spacing w:line="480" w:lineRule="auto"/>
        <w:jc w:val="center"/>
        <w:rPr>
          <w:rFonts w:ascii="Arial" w:hAnsi="Arial" w:cs="Arial"/>
        </w:rPr>
      </w:pP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begin"/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instrText xml:space="preserve"> INCLUDEPICTURE "https://lh7-rt.googleusercontent.com/docsz/AD_4nXc9GpeWsYIj1h4fcjMKdFsAI0nc_7xsLdd-YMRyMh212Rm5NngGXCOIE4pBczmTfSbUxkkpO6O0apPRKj92sGaSVqqX8Hi90ML5qW31IAVsacnJ15xN8ddidRi5MmN6TZCOvHLswcGR5xHbWaBH5PniwPDk?key=5FzoVyNrle-Ubg5_Vet7RA" \* MERGEFORMATINET </w:instrText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separate"/>
      </w:r>
      <w:r w:rsidRPr="00122893">
        <w:rPr>
          <w:rFonts w:ascii="Arial" w:eastAsia="Times New Roman" w:hAnsi="Arial" w:cs="Arial"/>
          <w:noProof/>
          <w:color w:val="000000"/>
          <w:kern w:val="0"/>
          <w:bdr w:val="none" w:sz="0" w:space="0" w:color="auto" w:frame="1"/>
          <w14:ligatures w14:val="none"/>
        </w:rPr>
        <w:drawing>
          <wp:inline distT="0" distB="0" distL="0" distR="0" wp14:anchorId="4962D76C" wp14:editId="7FC16C4D">
            <wp:extent cx="5031146" cy="2941955"/>
            <wp:effectExtent l="0" t="0" r="0" b="444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443" cy="302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end"/>
      </w:r>
    </w:p>
    <w:p w14:paraId="74E7D3FF" w14:textId="77777777" w:rsidR="00CD5079" w:rsidRPr="00122893" w:rsidRDefault="00CD5079" w:rsidP="00CD5079">
      <w:pPr>
        <w:spacing w:line="480" w:lineRule="auto"/>
        <w:rPr>
          <w:rFonts w:ascii="Arial" w:eastAsia="Times New Roman" w:hAnsi="Arial" w:cs="Arial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Figure 1.</w:t>
      </w:r>
      <w:r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Hypothesized relationships among bass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neutrophil-to-lymphocyte ratios (NLR)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low and high levels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cadmium (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Cd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perfluoropentanoic acid (</w:t>
      </w:r>
      <w:proofErr w:type="spellStart"/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and an environmental stressor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(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sal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inity increase)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We anticipated that exposure to Cd or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indicated by the dashed "Treatment" line between blood samples 1 and 2, would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lead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to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elevated NLR values, particularly in groups receiving higher doses of each toxin.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Furthermore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, we expected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NLR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to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peak</w:t>
      </w:r>
      <w:r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for all fish after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exposure to an 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abruptly introduced environmental stressor, represented by the dashed "Salt" line between blood samples 2 and 3.</w:t>
      </w:r>
    </w:p>
    <w:p w14:paraId="498F45D3" w14:textId="77777777" w:rsidR="00CD5079" w:rsidRDefault="00CD5079" w:rsidP="00122893">
      <w:pPr>
        <w:spacing w:line="480" w:lineRule="auto"/>
        <w:rPr>
          <w:rFonts w:ascii="Arial" w:hAnsi="Arial" w:cs="Arial"/>
        </w:rPr>
      </w:pPr>
    </w:p>
    <w:p w14:paraId="5331E182" w14:textId="22E6FBA0" w:rsidR="00CD5079" w:rsidRDefault="00CD5079" w:rsidP="00CD5079">
      <w:pPr>
        <w:spacing w:line="480" w:lineRule="auto"/>
        <w:jc w:val="center"/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begin"/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instrText xml:space="preserve"> INCLUDEPICTURE "https://lh7-rt.googleusercontent.com/docsz/AD_4nXcJYadCg6eACHmkj3_lcX5C3kNP-Zmi4ZVoYtMg_nNE2aOkx6JaMsb7f2ozUKAt49s9LDKaoOdBFppB1PKLlNEWWBuEB8TrZQnddJDTOXiUWPsoDhwGHiU8dl2uR1aodRre1aTsSHn2M9t-Z88hvGUuLsc6?key=5FzoVyNrle-Ubg5_Vet7RA" \* MERGEFORMATINET </w:instrText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separate"/>
      </w:r>
      <w:r w:rsidRPr="00122893">
        <w:rPr>
          <w:rFonts w:ascii="Arial" w:eastAsia="Times New Roman" w:hAnsi="Arial" w:cs="Arial"/>
          <w:noProof/>
          <w:color w:val="000000"/>
          <w:kern w:val="0"/>
          <w:bdr w:val="none" w:sz="0" w:space="0" w:color="auto" w:frame="1"/>
          <w14:ligatures w14:val="none"/>
        </w:rPr>
        <w:drawing>
          <wp:inline distT="0" distB="0" distL="0" distR="0" wp14:anchorId="124FDF87" wp14:editId="5BE1C7F8">
            <wp:extent cx="5025224" cy="3776567"/>
            <wp:effectExtent l="0" t="0" r="4445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526" cy="3806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end"/>
      </w:r>
    </w:p>
    <w:p w14:paraId="53A18A37" w14:textId="77777777" w:rsidR="00CD5079" w:rsidRPr="00122893" w:rsidRDefault="00CD5079" w:rsidP="00CD5079">
      <w:pPr>
        <w:spacing w:line="480" w:lineRule="auto"/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Figure 2.</w:t>
      </w:r>
      <w:r w:rsidRPr="00122893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 w:rsidRPr="00052E17">
        <w:rPr>
          <w:rFonts w:ascii="Arial" w:eastAsia="Times New Roman" w:hAnsi="Arial" w:cs="Arial"/>
          <w:color w:val="000000"/>
          <w:kern w:val="0"/>
          <w14:ligatures w14:val="none"/>
        </w:rPr>
        <w:t>Overview of 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tudy design and experimental timeline. We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arrang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ed 15-37.9 L rectangular tanks in three rows,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featur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ing opaque boundaries on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long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sides (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indica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ted by thick solid black bars) and a mesh top (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shown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by dashed gray bars). Each tank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contain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ed 37.6 L of conditioned tap water (light blue)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, equipped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with aerators (yellow bubbler). We randomized the treatment order among the tanks (five groups represented by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different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color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). Below the tank design, in connect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ed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boxes, we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illustrate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chronological order of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signific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ant daily events from the start (day 1) to the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conclusion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of the trial (day 22).</w:t>
      </w:r>
    </w:p>
    <w:p w14:paraId="47C88C7D" w14:textId="77777777" w:rsidR="00CD5079" w:rsidRDefault="00CD5079" w:rsidP="00122893">
      <w:pPr>
        <w:spacing w:line="480" w:lineRule="auto"/>
        <w:rPr>
          <w:rFonts w:ascii="Arial" w:hAnsi="Arial" w:cs="Arial"/>
        </w:rPr>
      </w:pPr>
    </w:p>
    <w:p w14:paraId="2462AD89" w14:textId="4593AE00" w:rsidR="00CD5079" w:rsidRDefault="00CD5079" w:rsidP="00CD5079">
      <w:pPr>
        <w:spacing w:line="480" w:lineRule="auto"/>
        <w:jc w:val="center"/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lastRenderedPageBreak/>
        <w:fldChar w:fldCharType="begin"/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instrText xml:space="preserve"> INCLUDEPICTURE "https://lh7-rt.googleusercontent.com/docsz/AD_4nXeAS3QDhRsa2ovYTXx_kwNxWpGkaTPUHxoS8-UdxjNm-DEzziwuAj_oNgpBqgE_BH4M1Q28DtGxhsSKc4FdhzvsPCIQIkkwTiAVCmYzARtI40RcIMukFbh3yMImCL6a9l-lgrqY2xMQXhPH8l6TSYVzwcOm?key=5FzoVyNrle-Ubg5_Vet7RA" \* MERGEFORMATINET </w:instrText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separate"/>
      </w:r>
      <w:r w:rsidRPr="00122893">
        <w:rPr>
          <w:rFonts w:ascii="Arial" w:eastAsia="Times New Roman" w:hAnsi="Arial" w:cs="Arial"/>
          <w:noProof/>
          <w:color w:val="000000"/>
          <w:kern w:val="0"/>
          <w:bdr w:val="none" w:sz="0" w:space="0" w:color="auto" w:frame="1"/>
          <w14:ligatures w14:val="none"/>
        </w:rPr>
        <w:drawing>
          <wp:inline distT="0" distB="0" distL="0" distR="0" wp14:anchorId="4D8713CF" wp14:editId="62875F29">
            <wp:extent cx="5033010" cy="3353863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900" cy="342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893">
        <w:rPr>
          <w:rFonts w:ascii="Arial" w:eastAsia="Times New Roman" w:hAnsi="Arial" w:cs="Arial"/>
          <w:color w:val="000000"/>
          <w:kern w:val="0"/>
          <w:bdr w:val="none" w:sz="0" w:space="0" w:color="auto" w:frame="1"/>
          <w14:ligatures w14:val="none"/>
        </w:rPr>
        <w:fldChar w:fldCharType="end"/>
      </w:r>
    </w:p>
    <w:p w14:paraId="4E746EF5" w14:textId="77777777" w:rsidR="00CD5079" w:rsidRPr="00122893" w:rsidRDefault="00CD5079" w:rsidP="00CD5079">
      <w:pPr>
        <w:spacing w:line="48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Figure 3. Individual tank water quality data (temperature, pH, dissolved oxygen, and salinity) collected from a YSI Pro DSS on each sampling day (Figure 2). Color denotes the treatment group. The first vertical dashed line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indicate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s the day we added treatments,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while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the second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mark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s the day we added salt. Note that we recorded YSI data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prior to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salt addition on day 15.</w:t>
      </w:r>
    </w:p>
    <w:p w14:paraId="5DB5E679" w14:textId="77777777" w:rsidR="00CD5079" w:rsidRDefault="00CD5079" w:rsidP="00122893">
      <w:pPr>
        <w:spacing w:line="480" w:lineRule="auto"/>
        <w:rPr>
          <w:rFonts w:ascii="Arial" w:hAnsi="Arial" w:cs="Arial"/>
        </w:rPr>
      </w:pPr>
    </w:p>
    <w:p w14:paraId="031C985E" w14:textId="205A5B0C" w:rsidR="00AC1393" w:rsidRDefault="00AC1393" w:rsidP="00122893">
      <w:pPr>
        <w:spacing w:line="480" w:lineRule="auto"/>
        <w:rPr>
          <w:rFonts w:ascii="Arial" w:hAnsi="Arial" w:cs="Arial"/>
        </w:rPr>
      </w:pPr>
      <w:r>
        <w:rPr>
          <w:b/>
          <w:bCs/>
          <w:color w:val="000000"/>
          <w:bdr w:val="none" w:sz="0" w:space="0" w:color="auto" w:frame="1"/>
        </w:rPr>
        <w:lastRenderedPageBreak/>
        <w:fldChar w:fldCharType="begin"/>
      </w:r>
      <w:r>
        <w:rPr>
          <w:b/>
          <w:bCs/>
          <w:color w:val="000000"/>
          <w:bdr w:val="none" w:sz="0" w:space="0" w:color="auto" w:frame="1"/>
        </w:rPr>
        <w:instrText xml:space="preserve"> INCLUDEPICTURE "https://lh7-rt.googleusercontent.com/docsz/AD_4nXcFLnybuzb0URk8jbDLeY2xJvtvZhJjs98H0vGFi384waNWYMtFvvH9w95e0oj3eQqkjIl-bTKwHNDitmZ9uNdhL-XLuN7ASJl6ggbk1q2VSC-eO3q4yPzbvX19CSzg86qORZJMz5pK-Tq-6f1t1jAeGKNu?key=5FzoVyNrle-Ubg5_Vet7RA" \* MERGEFORMATINET </w:instrText>
      </w:r>
      <w:r>
        <w:rPr>
          <w:b/>
          <w:bCs/>
          <w:color w:val="000000"/>
          <w:bdr w:val="none" w:sz="0" w:space="0" w:color="auto" w:frame="1"/>
        </w:rPr>
        <w:fldChar w:fldCharType="separate"/>
      </w:r>
      <w:r>
        <w:rPr>
          <w:b/>
          <w:bCs/>
          <w:noProof/>
          <w:color w:val="000000"/>
          <w:bdr w:val="none" w:sz="0" w:space="0" w:color="auto" w:frame="1"/>
        </w:rPr>
        <w:drawing>
          <wp:inline distT="0" distB="0" distL="0" distR="0" wp14:anchorId="6D40D9DE" wp14:editId="53C25D6F">
            <wp:extent cx="5029200" cy="3354412"/>
            <wp:effectExtent l="0" t="0" r="0" b="0"/>
            <wp:docPr id="574660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868" cy="337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color w:val="000000"/>
          <w:bdr w:val="none" w:sz="0" w:space="0" w:color="auto" w:frame="1"/>
        </w:rPr>
        <w:fldChar w:fldCharType="end"/>
      </w:r>
    </w:p>
    <w:p w14:paraId="3F54B5E1" w14:textId="3DDC7942" w:rsidR="00AC1393" w:rsidRDefault="00AC1393" w:rsidP="00122893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Figure 4. Largemouth bass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neutrophil-to-lymphocyte ratios (NLR)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from blood smears throughout the study.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 xml:space="preserve"> The five colors represent individual groups: </w:t>
      </w:r>
      <w:r w:rsidR="00733DEC"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low and high levels of 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cadmium (</w:t>
      </w:r>
      <w:r w:rsidR="00733DEC" w:rsidRPr="00292FF5">
        <w:rPr>
          <w:rFonts w:ascii="Arial" w:eastAsia="Times New Roman" w:hAnsi="Arial" w:cs="Arial"/>
          <w:color w:val="000000"/>
          <w:kern w:val="0"/>
          <w14:ligatures w14:val="none"/>
        </w:rPr>
        <w:t>Cd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="00733DEC" w:rsidRPr="00292FF5">
        <w:rPr>
          <w:rFonts w:ascii="Arial" w:eastAsia="Times New Roman" w:hAnsi="Arial" w:cs="Arial"/>
          <w:color w:val="000000"/>
          <w:kern w:val="0"/>
          <w14:ligatures w14:val="none"/>
        </w:rPr>
        <w:t xml:space="preserve"> and perfluoropentanoic acid (</w:t>
      </w:r>
      <w:proofErr w:type="spellStart"/>
      <w:r w:rsidR="00733DEC" w:rsidRPr="00292FF5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)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, and the control.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 xml:space="preserve">Lines dictate the 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generalized linear mixed-effects mode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l estimated relationships among the groups and blood samples (slopes can vary due to the group x blood sample interaction). Jittered p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oints 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represent individual bass NLR at each blood sample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xposure to Cd or </w:t>
      </w:r>
      <w:proofErr w:type="spellStart"/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PFPeA</w:t>
      </w:r>
      <w:proofErr w:type="spellEnd"/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 xml:space="preserve"> is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indicated by the dashed "Treatment" line between blood samples 1 and 2. 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>E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>xposure to an environmental stressor</w:t>
      </w:r>
      <w:r w:rsidR="00733DEC">
        <w:rPr>
          <w:rFonts w:ascii="Arial" w:eastAsia="Times New Roman" w:hAnsi="Arial" w:cs="Arial"/>
          <w:color w:val="000000"/>
          <w:kern w:val="0"/>
          <w14:ligatures w14:val="none"/>
        </w:rPr>
        <w:t xml:space="preserve"> is</w:t>
      </w:r>
      <w:r w:rsidRPr="00122893">
        <w:rPr>
          <w:rFonts w:ascii="Arial" w:eastAsia="Times New Roman" w:hAnsi="Arial" w:cs="Arial"/>
          <w:color w:val="000000"/>
          <w:kern w:val="0"/>
          <w14:ligatures w14:val="none"/>
        </w:rPr>
        <w:t xml:space="preserve"> represented by the dashed "Salt" line between blood samples 2 and 3.</w:t>
      </w:r>
    </w:p>
    <w:p w14:paraId="36E15A75" w14:textId="77777777" w:rsidR="00AC1393" w:rsidRDefault="00AC1393" w:rsidP="00122893">
      <w:pPr>
        <w:spacing w:line="480" w:lineRule="auto"/>
        <w:rPr>
          <w:rFonts w:ascii="Arial" w:hAnsi="Arial" w:cs="Arial"/>
        </w:rPr>
      </w:pPr>
    </w:p>
    <w:p w14:paraId="2699B11F" w14:textId="1B1F2B1C" w:rsidR="00AB131F" w:rsidRDefault="00AB131F" w:rsidP="00122893">
      <w:pPr>
        <w:spacing w:line="48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#. References</w:t>
      </w:r>
    </w:p>
    <w:p w14:paraId="1BE38DD0" w14:textId="77777777" w:rsidR="00AB131F" w:rsidRPr="00AB131F" w:rsidRDefault="00AB131F" w:rsidP="00122893">
      <w:pPr>
        <w:spacing w:line="480" w:lineRule="auto"/>
        <w:rPr>
          <w:rFonts w:ascii="Arial" w:hAnsi="Arial" w:cs="Arial"/>
        </w:rPr>
      </w:pPr>
    </w:p>
    <w:sectPr w:rsidR="00AB131F" w:rsidRPr="00AB131F" w:rsidSect="00122893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eviewer" w:date="2025-02-26T08:27:00Z" w:initials="R">
    <w:p w14:paraId="290536D0" w14:textId="06E94C59" w:rsidR="001252F7" w:rsidRDefault="001252F7">
      <w:pPr>
        <w:pStyle w:val="CommentText"/>
      </w:pPr>
      <w:r>
        <w:rPr>
          <w:rStyle w:val="CommentReference"/>
        </w:rPr>
        <w:annotationRef/>
      </w:r>
      <w:r>
        <w:rPr>
          <w:rFonts w:ascii="Roboto" w:hAnsi="Roboto"/>
          <w:color w:val="444746"/>
          <w:spacing w:val="3"/>
          <w:sz w:val="21"/>
          <w:szCs w:val="21"/>
        </w:rPr>
        <w:t>Neumann, R., Allen, M. Size structure. In Analysis and Interpretation of Freshwater Fisheries Data; Guy, C.S., Brown, M.L., Eds.; American Fisheries Society: Bethesda, Maryland, 2007; pp. 375–421.</w:t>
      </w:r>
    </w:p>
  </w:comment>
  <w:comment w:id="1" w:author="Reviewer" w:date="2025-02-26T08:27:00Z" w:initials="R">
    <w:p w14:paraId="5454A01F" w14:textId="60A7FD72" w:rsidR="001252F7" w:rsidRDefault="001252F7">
      <w:pPr>
        <w:pStyle w:val="CommentText"/>
      </w:pPr>
      <w:r>
        <w:rPr>
          <w:rStyle w:val="CommentReference"/>
        </w:rPr>
        <w:annotationRef/>
      </w: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Anderson ,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 xml:space="preserve"> R. O. and Neumann , R. M. 1996 . </w:t>
      </w: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“ Length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 xml:space="preserve">, weight, and associated structural </w:t>
      </w:r>
      <w:proofErr w:type="spellStart"/>
      <w:r>
        <w:rPr>
          <w:rFonts w:ascii="Roboto" w:hAnsi="Roboto"/>
          <w:color w:val="444746"/>
          <w:spacing w:val="3"/>
          <w:sz w:val="21"/>
          <w:szCs w:val="21"/>
        </w:rPr>
        <w:t>ifndices</w:t>
      </w:r>
      <w:proofErr w:type="spellEnd"/>
      <w:r>
        <w:rPr>
          <w:rFonts w:ascii="Roboto" w:hAnsi="Roboto"/>
          <w:color w:val="444746"/>
          <w:spacing w:val="3"/>
          <w:sz w:val="21"/>
          <w:szCs w:val="21"/>
        </w:rPr>
        <w:t xml:space="preserve"> ” . In Fisheries techniques</w:t>
      </w: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, ,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 xml:space="preserve"> 2nd edition Edited by: Murphy , B. R. and Willis , D. W. 447 – 482 . Bethesda, </w:t>
      </w: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Maryland :</w:t>
      </w:r>
      <w:proofErr w:type="gramEnd"/>
      <w:r>
        <w:rPr>
          <w:rFonts w:ascii="Roboto" w:hAnsi="Roboto"/>
          <w:color w:val="444746"/>
          <w:spacing w:val="3"/>
          <w:sz w:val="21"/>
          <w:szCs w:val="21"/>
        </w:rPr>
        <w:t xml:space="preserve"> American Fisheries Society 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90536D0" w15:done="0"/>
  <w15:commentEx w15:paraId="5454A01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0F7D0BA" w16cex:dateUtc="2025-02-26T14:27:00Z"/>
  <w16cex:commentExtensible w16cex:durableId="590A1288" w16cex:dateUtc="2025-02-26T14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90536D0" w16cid:durableId="60F7D0BA"/>
  <w16cid:commentId w16cid:paraId="5454A01F" w16cid:durableId="590A128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viewer">
    <w15:presenceInfo w15:providerId="None" w15:userId="Review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FF5"/>
    <w:rsid w:val="000052A3"/>
    <w:rsid w:val="0004143E"/>
    <w:rsid w:val="00052E17"/>
    <w:rsid w:val="000A4FC5"/>
    <w:rsid w:val="000D0961"/>
    <w:rsid w:val="000E4487"/>
    <w:rsid w:val="000E64D2"/>
    <w:rsid w:val="00122893"/>
    <w:rsid w:val="001252F7"/>
    <w:rsid w:val="001A6161"/>
    <w:rsid w:val="001D61EF"/>
    <w:rsid w:val="00202619"/>
    <w:rsid w:val="00292FF5"/>
    <w:rsid w:val="00310A30"/>
    <w:rsid w:val="003545BE"/>
    <w:rsid w:val="00373EEB"/>
    <w:rsid w:val="003A5734"/>
    <w:rsid w:val="00435094"/>
    <w:rsid w:val="0045522C"/>
    <w:rsid w:val="00487AF7"/>
    <w:rsid w:val="004B13AA"/>
    <w:rsid w:val="004E2D52"/>
    <w:rsid w:val="004F6348"/>
    <w:rsid w:val="00533DCC"/>
    <w:rsid w:val="00555CCE"/>
    <w:rsid w:val="005765A6"/>
    <w:rsid w:val="005B5643"/>
    <w:rsid w:val="006152BC"/>
    <w:rsid w:val="00661E69"/>
    <w:rsid w:val="006A4266"/>
    <w:rsid w:val="0071739F"/>
    <w:rsid w:val="00733DEC"/>
    <w:rsid w:val="00796D02"/>
    <w:rsid w:val="007A6340"/>
    <w:rsid w:val="00883338"/>
    <w:rsid w:val="008D4890"/>
    <w:rsid w:val="008F6D79"/>
    <w:rsid w:val="00914B51"/>
    <w:rsid w:val="00991BBD"/>
    <w:rsid w:val="009B7318"/>
    <w:rsid w:val="009C025E"/>
    <w:rsid w:val="00A16CA8"/>
    <w:rsid w:val="00A60268"/>
    <w:rsid w:val="00AB131F"/>
    <w:rsid w:val="00AC1393"/>
    <w:rsid w:val="00AF634C"/>
    <w:rsid w:val="00B255A6"/>
    <w:rsid w:val="00BC047E"/>
    <w:rsid w:val="00BE205A"/>
    <w:rsid w:val="00C04669"/>
    <w:rsid w:val="00C14026"/>
    <w:rsid w:val="00CD1F0F"/>
    <w:rsid w:val="00CD5079"/>
    <w:rsid w:val="00DC5F05"/>
    <w:rsid w:val="00DC5F12"/>
    <w:rsid w:val="00E22878"/>
    <w:rsid w:val="00F47773"/>
    <w:rsid w:val="00F535C0"/>
    <w:rsid w:val="00FB4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BAF0C"/>
  <w15:chartTrackingRefBased/>
  <w15:docId w15:val="{CC4B5A6C-5D96-8848-A19E-0FE4B3B20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92F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FF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5522C"/>
    <w:pPr>
      <w:ind w:left="720"/>
      <w:contextualSpacing/>
    </w:pPr>
  </w:style>
  <w:style w:type="character" w:styleId="LineNumber">
    <w:name w:val="line number"/>
    <w:basedOn w:val="DefaultParagraphFont"/>
    <w:uiPriority w:val="99"/>
    <w:semiHidden/>
    <w:unhideWhenUsed/>
    <w:rsid w:val="00122893"/>
  </w:style>
  <w:style w:type="character" w:styleId="CommentReference">
    <w:name w:val="annotation reference"/>
    <w:basedOn w:val="DefaultParagraphFont"/>
    <w:uiPriority w:val="99"/>
    <w:semiHidden/>
    <w:unhideWhenUsed/>
    <w:rsid w:val="00AF634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634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634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634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634C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C140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zotero.org/google-docs/?Nhw3g4" TargetMode="External"/><Relationship Id="rId18" Type="http://schemas.openxmlformats.org/officeDocument/2006/relationships/hyperlink" Target="https://www.zotero.org/google-docs/?iCqV4h" TargetMode="External"/><Relationship Id="rId26" Type="http://schemas.openxmlformats.org/officeDocument/2006/relationships/hyperlink" Target="https://www.zotero.org/google-docs/?Svw3Vk" TargetMode="External"/><Relationship Id="rId21" Type="http://schemas.openxmlformats.org/officeDocument/2006/relationships/hyperlink" Target="https://www.zotero.org/google-docs/?VuXWBT" TargetMode="External"/><Relationship Id="rId34" Type="http://schemas.openxmlformats.org/officeDocument/2006/relationships/image" Target="media/image3.png"/><Relationship Id="rId7" Type="http://schemas.openxmlformats.org/officeDocument/2006/relationships/hyperlink" Target="https://www.zotero.org/google-docs/?aSAXBE" TargetMode="External"/><Relationship Id="rId12" Type="http://schemas.openxmlformats.org/officeDocument/2006/relationships/hyperlink" Target="https://www.zotero.org/google-docs/?zaYYp3" TargetMode="External"/><Relationship Id="rId17" Type="http://schemas.openxmlformats.org/officeDocument/2006/relationships/hyperlink" Target="https://www.zotero.org/google-docs/?broken=A5RHkA" TargetMode="External"/><Relationship Id="rId25" Type="http://schemas.openxmlformats.org/officeDocument/2006/relationships/hyperlink" Target="https://www.zotero.org/google-docs/?PI4O33" TargetMode="External"/><Relationship Id="rId33" Type="http://schemas.openxmlformats.org/officeDocument/2006/relationships/image" Target="media/image2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www.zotero.org/google-docs/?broken=Zl845f" TargetMode="External"/><Relationship Id="rId20" Type="http://schemas.openxmlformats.org/officeDocument/2006/relationships/hyperlink" Target="https://www.zotero.org/google-docs/?13xTVM" TargetMode="External"/><Relationship Id="rId29" Type="http://schemas.microsoft.com/office/2016/09/relationships/commentsIds" Target="commentsIds.xml"/><Relationship Id="rId1" Type="http://schemas.openxmlformats.org/officeDocument/2006/relationships/styles" Target="styles.xml"/><Relationship Id="rId6" Type="http://schemas.openxmlformats.org/officeDocument/2006/relationships/hyperlink" Target="https://www.zotero.org/google-docs/?n5qgkY" TargetMode="External"/><Relationship Id="rId11" Type="http://schemas.openxmlformats.org/officeDocument/2006/relationships/hyperlink" Target="https://www.zotero.org/google-docs/?CaQeZS" TargetMode="External"/><Relationship Id="rId24" Type="http://schemas.openxmlformats.org/officeDocument/2006/relationships/hyperlink" Target="https://www.zotero.org/google-docs/?kI1fBx" TargetMode="External"/><Relationship Id="rId32" Type="http://schemas.openxmlformats.org/officeDocument/2006/relationships/image" Target="media/image1.png"/><Relationship Id="rId37" Type="http://schemas.microsoft.com/office/2011/relationships/people" Target="people.xml"/><Relationship Id="rId5" Type="http://schemas.openxmlformats.org/officeDocument/2006/relationships/hyperlink" Target="https://www.zotero.org/google-docs/?cfvPRQ" TargetMode="External"/><Relationship Id="rId15" Type="http://schemas.openxmlformats.org/officeDocument/2006/relationships/hyperlink" Target="https://www.zotero.org/google-docs/?16OWSO" TargetMode="External"/><Relationship Id="rId23" Type="http://schemas.openxmlformats.org/officeDocument/2006/relationships/hyperlink" Target="https://www.zotero.org/google-docs/?g9Yjh3" TargetMode="External"/><Relationship Id="rId28" Type="http://schemas.microsoft.com/office/2011/relationships/commentsExtended" Target="commentsExtended.xml"/><Relationship Id="rId36" Type="http://schemas.openxmlformats.org/officeDocument/2006/relationships/fontTable" Target="fontTable.xml"/><Relationship Id="rId10" Type="http://schemas.openxmlformats.org/officeDocument/2006/relationships/hyperlink" Target="https://www.zotero.org/google-docs/?1Y5m9y" TargetMode="External"/><Relationship Id="rId19" Type="http://schemas.openxmlformats.org/officeDocument/2006/relationships/hyperlink" Target="https://www.zotero.org/google-docs/?JhSncl" TargetMode="External"/><Relationship Id="rId31" Type="http://schemas.openxmlformats.org/officeDocument/2006/relationships/hyperlink" Target="https://www.zotero.org/google-docs/?HRm7bq" TargetMode="External"/><Relationship Id="rId4" Type="http://schemas.openxmlformats.org/officeDocument/2006/relationships/hyperlink" Target="https://www.zotero.org/google-docs/?0vebOh" TargetMode="External"/><Relationship Id="rId9" Type="http://schemas.openxmlformats.org/officeDocument/2006/relationships/hyperlink" Target="https://www.zotero.org/google-docs/?nKoLQZ" TargetMode="External"/><Relationship Id="rId14" Type="http://schemas.openxmlformats.org/officeDocument/2006/relationships/hyperlink" Target="https://www.zotero.org/google-docs/?1wa1jI" TargetMode="External"/><Relationship Id="rId22" Type="http://schemas.openxmlformats.org/officeDocument/2006/relationships/hyperlink" Target="https://www.zotero.org/google-docs/?xNGKWd" TargetMode="External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image" Target="media/image4.png"/><Relationship Id="rId8" Type="http://schemas.openxmlformats.org/officeDocument/2006/relationships/hyperlink" Target="https://www.zotero.org/google-docs/?wgUwEa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</TotalTime>
  <Pages>18</Pages>
  <Words>4018</Words>
  <Characters>22909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11</cp:revision>
  <dcterms:created xsi:type="dcterms:W3CDTF">2025-02-26T15:57:00Z</dcterms:created>
  <dcterms:modified xsi:type="dcterms:W3CDTF">2025-03-07T18:09:00Z</dcterms:modified>
</cp:coreProperties>
</file>