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2A17" w14:textId="77777777" w:rsidR="00292FF5" w:rsidRPr="00292FF5" w:rsidRDefault="00292FF5" w:rsidP="00292FF5">
      <w:pPr>
        <w:rPr>
          <w:rFonts w:ascii="Arial" w:eastAsia="Times New Roman" w:hAnsi="Arial" w:cs="Arial"/>
          <w:color w:val="000000"/>
          <w:kern w:val="0"/>
          <w14:ligatures w14:val="none"/>
        </w:rPr>
      </w:pPr>
      <w:r w:rsidRPr="00A86DE0">
        <w:rPr>
          <w:rFonts w:ascii="Arial" w:eastAsia="Times New Roman" w:hAnsi="Arial" w:cs="Arial"/>
          <w:b/>
          <w:bCs/>
          <w:color w:val="000000"/>
          <w:kern w:val="0"/>
          <w14:ligatures w14:val="none"/>
        </w:rPr>
        <w:t>Title:</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PFAS, but not Cadmium, Confounds the Stress Response in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w:t>
      </w:r>
    </w:p>
    <w:p w14:paraId="2AC9BEE6" w14:textId="77777777" w:rsidR="00292FF5" w:rsidRDefault="00292FF5" w:rsidP="00292FF5">
      <w:pPr>
        <w:rPr>
          <w:rFonts w:ascii="Arial" w:eastAsia="Times New Roman" w:hAnsi="Arial" w:cs="Arial"/>
          <w:kern w:val="0"/>
          <w14:ligatures w14:val="none"/>
        </w:rPr>
      </w:pPr>
    </w:p>
    <w:p w14:paraId="18AD51DA" w14:textId="77777777" w:rsidR="00292FF5" w:rsidRPr="00A86DE0" w:rsidRDefault="00292FF5" w:rsidP="00292FF5">
      <w:pPr>
        <w:rPr>
          <w:rFonts w:ascii="Arial" w:eastAsia="Times New Roman" w:hAnsi="Arial" w:cs="Arial"/>
          <w:b/>
          <w:bCs/>
          <w:kern w:val="0"/>
          <w14:ligatures w14:val="none"/>
        </w:rPr>
      </w:pPr>
      <w:r w:rsidRPr="00A86DE0">
        <w:rPr>
          <w:rFonts w:ascii="Arial" w:eastAsia="Times New Roman" w:hAnsi="Arial" w:cs="Arial"/>
          <w:b/>
          <w:bCs/>
          <w:kern w:val="0"/>
          <w14:ligatures w14:val="none"/>
        </w:rPr>
        <w:t xml:space="preserve">Authors:  </w:t>
      </w:r>
    </w:p>
    <w:p w14:paraId="4C29D8EF" w14:textId="77777777" w:rsid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Anthony Ryan Johnson</w:t>
      </w:r>
      <w:r w:rsidRPr="00292FF5">
        <w:rPr>
          <w:rFonts w:ascii="Arial" w:eastAsia="Times New Roman" w:hAnsi="Arial" w:cs="Arial"/>
          <w:kern w:val="0"/>
          <w:vertAlign w:val="superscript"/>
          <w14:ligatures w14:val="none"/>
        </w:rPr>
        <w:t>1</w:t>
      </w:r>
      <w:r w:rsidRPr="00292FF5">
        <w:rPr>
          <w:rFonts w:ascii="Arial" w:eastAsia="Times New Roman" w:hAnsi="Arial" w:cs="Arial"/>
          <w:color w:val="000000"/>
          <w:kern w:val="0"/>
          <w14:ligatures w14:val="none"/>
        </w:rPr>
        <w:t>, Tyler Steven Coleman</w:t>
      </w:r>
      <w:r w:rsidRPr="00292FF5">
        <w:rPr>
          <w:rFonts w:ascii="Arial" w:eastAsia="Times New Roman" w:hAnsi="Arial" w:cs="Arial"/>
          <w:kern w:val="0"/>
          <w:vertAlign w:val="superscript"/>
          <w14:ligatures w14:val="none"/>
        </w:rPr>
        <w:t>2</w:t>
      </w:r>
      <w:r w:rsidRPr="00292FF5">
        <w:rPr>
          <w:rFonts w:ascii="Arial" w:eastAsia="Times New Roman" w:hAnsi="Arial" w:cs="Arial"/>
          <w:color w:val="000000"/>
          <w:kern w:val="0"/>
          <w14:ligatures w14:val="none"/>
        </w:rPr>
        <w:t>, Jasmine B. Nasser</w:t>
      </w:r>
      <w:r w:rsidRPr="00292FF5">
        <w:rPr>
          <w:rFonts w:ascii="Arial" w:eastAsia="Times New Roman" w:hAnsi="Arial" w:cs="Arial"/>
          <w:kern w:val="0"/>
          <w:vertAlign w:val="superscript"/>
          <w14:ligatures w14:val="none"/>
        </w:rPr>
        <w:t>3</w:t>
      </w:r>
      <w:r w:rsidRPr="00292FF5">
        <w:rPr>
          <w:rFonts w:ascii="Arial" w:eastAsia="Times New Roman" w:hAnsi="Arial" w:cs="Arial"/>
          <w:color w:val="000000"/>
          <w:kern w:val="0"/>
          <w14:ligatures w14:val="none"/>
        </w:rPr>
        <w:t>, Maggie McGreal</w:t>
      </w:r>
      <w:r w:rsidRPr="00292FF5">
        <w:rPr>
          <w:rFonts w:ascii="Arial" w:eastAsia="Times New Roman" w:hAnsi="Arial" w:cs="Arial"/>
          <w:kern w:val="0"/>
          <w:vertAlign w:val="superscript"/>
          <w14:ligatures w14:val="none"/>
        </w:rPr>
        <w:t>4</w:t>
      </w:r>
      <w:r w:rsidRPr="00292FF5">
        <w:rPr>
          <w:rFonts w:ascii="Arial" w:eastAsia="Times New Roman" w:hAnsi="Arial" w:cs="Arial"/>
          <w:color w:val="000000"/>
          <w:kern w:val="0"/>
          <w14:ligatures w14:val="none"/>
        </w:rPr>
        <w:t>, Kyle R. Piller</w:t>
      </w:r>
      <w:r w:rsidRPr="00292FF5">
        <w:rPr>
          <w:rFonts w:ascii="Arial" w:eastAsia="Times New Roman" w:hAnsi="Arial" w:cs="Arial"/>
          <w:kern w:val="0"/>
          <w:vertAlign w:val="superscript"/>
          <w14:ligatures w14:val="none"/>
        </w:rPr>
        <w:t>5</w:t>
      </w:r>
      <w:r w:rsidRPr="00292FF5">
        <w:rPr>
          <w:rFonts w:ascii="Arial" w:eastAsia="Times New Roman" w:hAnsi="Arial" w:cs="Arial"/>
          <w:color w:val="000000"/>
          <w:kern w:val="0"/>
          <w14:ligatures w14:val="none"/>
        </w:rPr>
        <w:t>, and Christopher M. Murray</w:t>
      </w:r>
      <w:r w:rsidRPr="00292FF5">
        <w:rPr>
          <w:rFonts w:ascii="Arial" w:eastAsia="Times New Roman" w:hAnsi="Arial" w:cs="Arial"/>
          <w:kern w:val="0"/>
          <w:vertAlign w:val="superscript"/>
          <w14:ligatures w14:val="none"/>
        </w:rPr>
        <w:t>6</w:t>
      </w:r>
    </w:p>
    <w:p w14:paraId="7C742043" w14:textId="77777777" w:rsidR="0071739F" w:rsidRPr="00292FF5" w:rsidRDefault="0071739F" w:rsidP="00292FF5">
      <w:pPr>
        <w:rPr>
          <w:rFonts w:ascii="Arial" w:eastAsia="Times New Roman" w:hAnsi="Arial" w:cs="Arial"/>
          <w:kern w:val="0"/>
          <w14:ligatures w14:val="none"/>
        </w:rPr>
      </w:pPr>
    </w:p>
    <w:p w14:paraId="0E06A992" w14:textId="77777777"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kern w:val="0"/>
          <w:vertAlign w:val="superscript"/>
          <w14:ligatures w14:val="none"/>
        </w:rPr>
        <w:t>1</w:t>
      </w:r>
      <w:r w:rsidRPr="00292FF5">
        <w:rPr>
          <w:rFonts w:ascii="Arial" w:eastAsia="Times New Roman" w:hAnsi="Arial" w:cs="Arial"/>
          <w:color w:val="000000"/>
          <w:kern w:val="0"/>
          <w14:ligatures w14:val="none"/>
        </w:rPr>
        <w:t>Southeastern Louisiana University, Department of Biological Sciences, Hammond, Louisiana, USA;</w:t>
      </w:r>
      <w:r>
        <w:rPr>
          <w:rFonts w:ascii="Arial" w:eastAsia="Times New Roman" w:hAnsi="Arial" w:cs="Arial"/>
          <w:color w:val="000000"/>
          <w:kern w:val="0"/>
          <w14:ligatures w14:val="none"/>
        </w:rPr>
        <w:t xml:space="preserve"> email;</w:t>
      </w:r>
      <w:r w:rsidRPr="00292FF5">
        <w:rPr>
          <w:rFonts w:ascii="Arial" w:eastAsia="Times New Roman" w:hAnsi="Arial" w:cs="Arial"/>
          <w:color w:val="000000"/>
          <w:kern w:val="0"/>
          <w14:ligatures w14:val="none"/>
        </w:rPr>
        <w:t xml:space="preserve"> ORCID 0009-0005-9381-9510</w:t>
      </w:r>
    </w:p>
    <w:p w14:paraId="30A409DA"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2</w:t>
      </w:r>
      <w:r w:rsidRPr="00292FF5">
        <w:rPr>
          <w:rFonts w:ascii="Arial" w:eastAsia="Times New Roman" w:hAnsi="Arial" w:cs="Arial"/>
          <w:color w:val="000000"/>
          <w:kern w:val="0"/>
          <w14:ligatures w14:val="none"/>
        </w:rPr>
        <w:t>Southeastern Louisiana University, Department of Biological Sciences, Hammond, Louisiana, USA;</w:t>
      </w:r>
      <w:r>
        <w:rPr>
          <w:rFonts w:ascii="Arial" w:eastAsia="Times New Roman" w:hAnsi="Arial" w:cs="Arial"/>
          <w:color w:val="000000"/>
          <w:kern w:val="0"/>
          <w14:ligatures w14:val="none"/>
        </w:rPr>
        <w:t xml:space="preserve"> </w:t>
      </w:r>
      <w:r w:rsidR="0071739F">
        <w:rPr>
          <w:rFonts w:ascii="Arial" w:eastAsia="Times New Roman" w:hAnsi="Arial" w:cs="Arial"/>
          <w:color w:val="000000"/>
          <w:kern w:val="0"/>
          <w14:ligatures w14:val="none"/>
        </w:rPr>
        <w:t>tscoleman3@gmail.com</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ORCID 0000-0001-7472-1976</w:t>
      </w:r>
    </w:p>
    <w:p w14:paraId="201AB26F"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3</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0009-0003-0083-9498</w:t>
      </w:r>
    </w:p>
    <w:p w14:paraId="3B3C15AE"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4</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0009-0005-9745-8265</w:t>
      </w:r>
    </w:p>
    <w:p w14:paraId="0B188763" w14:textId="77777777" w:rsid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5</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0000-0003-1289-9351</w:t>
      </w:r>
    </w:p>
    <w:p w14:paraId="470E85E8" w14:textId="77777777" w:rsidR="00292FF5" w:rsidRPr="00292FF5" w:rsidRDefault="00292FF5" w:rsidP="00292FF5">
      <w:pPr>
        <w:rPr>
          <w:rFonts w:ascii="Arial" w:eastAsia="Times New Roman" w:hAnsi="Arial" w:cs="Arial"/>
          <w:kern w:val="0"/>
          <w14:ligatures w14:val="none"/>
        </w:rPr>
      </w:pPr>
      <w:r>
        <w:rPr>
          <w:rFonts w:ascii="Arial" w:eastAsia="Times New Roman" w:hAnsi="Arial" w:cs="Arial"/>
          <w:kern w:val="0"/>
          <w:vertAlign w:val="superscript"/>
          <w14:ligatures w14:val="none"/>
        </w:rPr>
        <w:t>6</w:t>
      </w:r>
      <w:r w:rsidRPr="00292FF5">
        <w:rPr>
          <w:rFonts w:ascii="Arial" w:eastAsia="Times New Roman" w:hAnsi="Arial" w:cs="Arial"/>
          <w:color w:val="000000"/>
          <w:kern w:val="0"/>
          <w14:ligatures w14:val="none"/>
        </w:rPr>
        <w:t xml:space="preserve">Southeastern Louisiana University, Department of Biological Sciences, Hammond, Louisiana, USA; </w:t>
      </w:r>
      <w:r>
        <w:rPr>
          <w:rFonts w:ascii="Arial" w:eastAsia="Times New Roman" w:hAnsi="Arial" w:cs="Arial"/>
          <w:color w:val="000000"/>
          <w:kern w:val="0"/>
          <w14:ligatures w14:val="none"/>
        </w:rPr>
        <w:t xml:space="preserve">email; </w:t>
      </w:r>
      <w:r w:rsidRPr="00292FF5">
        <w:rPr>
          <w:rFonts w:ascii="Arial" w:eastAsia="Times New Roman" w:hAnsi="Arial" w:cs="Arial"/>
          <w:color w:val="000000"/>
          <w:kern w:val="0"/>
          <w14:ligatures w14:val="none"/>
        </w:rPr>
        <w:t>ORCID 0000-0003-4500-9052</w:t>
      </w:r>
    </w:p>
    <w:p w14:paraId="1333DDD1" w14:textId="77777777" w:rsidR="00292FF5" w:rsidRDefault="00292FF5" w:rsidP="00292FF5">
      <w:pPr>
        <w:rPr>
          <w:rFonts w:ascii="Arial" w:eastAsia="Times New Roman" w:hAnsi="Arial" w:cs="Arial"/>
          <w:kern w:val="0"/>
          <w14:ligatures w14:val="none"/>
        </w:rPr>
      </w:pPr>
    </w:p>
    <w:p w14:paraId="47D147CF" w14:textId="77777777" w:rsidR="0071739F" w:rsidRDefault="0071739F" w:rsidP="00292FF5">
      <w:pPr>
        <w:rPr>
          <w:rFonts w:ascii="Arial" w:eastAsia="Times New Roman" w:hAnsi="Arial" w:cs="Arial"/>
          <w:kern w:val="0"/>
          <w14:ligatures w14:val="none"/>
        </w:rPr>
      </w:pPr>
      <w:r w:rsidRPr="00292FF5">
        <w:rPr>
          <w:rFonts w:ascii="Arial" w:eastAsia="Times New Roman" w:hAnsi="Arial" w:cs="Arial"/>
          <w:b/>
          <w:bCs/>
          <w:color w:val="000000"/>
          <w:kern w:val="0"/>
          <w14:ligatures w14:val="none"/>
        </w:rPr>
        <w:t>*</w:t>
      </w:r>
      <w:r w:rsidRPr="00292FF5">
        <w:rPr>
          <w:rFonts w:ascii="Arial" w:eastAsia="Times New Roman" w:hAnsi="Arial" w:cs="Arial"/>
          <w:color w:val="000000"/>
          <w:kern w:val="0"/>
          <w14:ligatures w14:val="none"/>
        </w:rPr>
        <w:t>Corresponding author</w:t>
      </w:r>
    </w:p>
    <w:p w14:paraId="42BCA278" w14:textId="77777777" w:rsidR="0071739F" w:rsidRPr="00292FF5" w:rsidRDefault="0071739F" w:rsidP="00292FF5">
      <w:pPr>
        <w:rPr>
          <w:rFonts w:ascii="Arial" w:eastAsia="Times New Roman" w:hAnsi="Arial" w:cs="Arial"/>
          <w:kern w:val="0"/>
          <w14:ligatures w14:val="none"/>
        </w:rPr>
      </w:pPr>
    </w:p>
    <w:p w14:paraId="59B1C05E" w14:textId="77777777" w:rsidR="00292FF5" w:rsidRPr="00A86DE0" w:rsidRDefault="00292FF5" w:rsidP="00292FF5">
      <w:pPr>
        <w:rPr>
          <w:rFonts w:ascii="Arial" w:eastAsia="Times New Roman" w:hAnsi="Arial" w:cs="Arial"/>
          <w:b/>
          <w:bCs/>
          <w:kern w:val="0"/>
          <w14:ligatures w14:val="none"/>
        </w:rPr>
      </w:pPr>
      <w:r w:rsidRPr="00A86DE0">
        <w:rPr>
          <w:rFonts w:ascii="Arial" w:eastAsia="Times New Roman" w:hAnsi="Arial" w:cs="Arial"/>
          <w:b/>
          <w:bCs/>
          <w:color w:val="000000"/>
          <w:kern w:val="0"/>
          <w14:ligatures w14:val="none"/>
        </w:rPr>
        <w:t>Keywords:</w:t>
      </w:r>
    </w:p>
    <w:p w14:paraId="132DA9C5" w14:textId="77777777" w:rsidR="00292FF5" w:rsidRPr="00292FF5" w:rsidRDefault="00292FF5" w:rsidP="00292FF5">
      <w:pPr>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Leukocyte Profiles,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Cadmium, Largemouth Bass, Per- Polyfluoroalkyl Substances, Stress</w:t>
      </w:r>
    </w:p>
    <w:p w14:paraId="59D6B951" w14:textId="77777777" w:rsidR="00292FF5" w:rsidRDefault="00292FF5">
      <w:pPr>
        <w:rPr>
          <w:rFonts w:ascii="Arial" w:eastAsia="Times New Roman" w:hAnsi="Arial" w:cs="Arial"/>
          <w:color w:val="000000"/>
          <w:kern w:val="0"/>
          <w14:ligatures w14:val="none"/>
        </w:rPr>
      </w:pPr>
    </w:p>
    <w:p w14:paraId="42878F96" w14:textId="77777777" w:rsidR="00A86DE0" w:rsidRDefault="00A86DE0" w:rsidP="00292FF5">
      <w:pPr>
        <w:spacing w:line="480" w:lineRule="auto"/>
        <w:rPr>
          <w:rFonts w:ascii="Arial" w:eastAsia="Times New Roman" w:hAnsi="Arial" w:cs="Arial"/>
          <w:b/>
          <w:bCs/>
          <w:color w:val="000000"/>
          <w:kern w:val="0"/>
          <w14:ligatures w14:val="none"/>
        </w:rPr>
      </w:pPr>
    </w:p>
    <w:p w14:paraId="1D902E99" w14:textId="62787759" w:rsidR="00292FF5" w:rsidRPr="00A86DE0" w:rsidRDefault="00292FF5" w:rsidP="00292FF5">
      <w:pPr>
        <w:spacing w:line="480" w:lineRule="auto"/>
        <w:rPr>
          <w:rFonts w:ascii="Arial" w:eastAsia="Times New Roman" w:hAnsi="Arial" w:cs="Arial"/>
          <w:b/>
          <w:bCs/>
          <w:kern w:val="0"/>
          <w14:ligatures w14:val="none"/>
        </w:rPr>
      </w:pPr>
      <w:r w:rsidRPr="00A86DE0">
        <w:rPr>
          <w:rFonts w:ascii="Arial" w:eastAsia="Times New Roman" w:hAnsi="Arial" w:cs="Arial"/>
          <w:b/>
          <w:bCs/>
          <w:color w:val="000000"/>
          <w:kern w:val="0"/>
          <w14:ligatures w14:val="none"/>
        </w:rPr>
        <w:t>Abstract:</w:t>
      </w:r>
    </w:p>
    <w:p w14:paraId="3F5852B6" w14:textId="77777777" w:rsidR="00292FF5" w:rsidRDefault="00292FF5" w:rsidP="00292FF5">
      <w:pPr>
        <w:spacing w:line="480" w:lineRule="auto"/>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Anthropogenic disturbances involving the release of toxic substances into aquatic environments can adversely affect the immune, endocrine, and nervous systems of vertebrates. The heavy metal cadmium (Cd) and the suite of synthetic per- and polyfluorinated substances (PFAS) are implicated as such toxic substances. In this study, we investigated the effects of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a member of the PFAS chemical group, and Cd on baseline leukocyte profiles in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using the neutrophil-to-lymphocyte ratio (NLR) as a proxy for stress under controlled laboratory conditions. Additionally, we evaluated the potential </w:t>
      </w:r>
      <w:r w:rsidRPr="00292FF5">
        <w:rPr>
          <w:rFonts w:ascii="Arial" w:eastAsia="Times New Roman" w:hAnsi="Arial" w:cs="Arial"/>
          <w:color w:val="000000"/>
          <w:kern w:val="0"/>
          <w14:ligatures w14:val="none"/>
        </w:rPr>
        <w:lastRenderedPageBreak/>
        <w:t xml:space="preserve">interaction of these substances with the typical vertebrate stress response following exposure to a suspected stressor (e.g., an abrupt increase in salinity). We designated fish into five groups: 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 We collected blood samples </w:t>
      </w:r>
      <w:proofErr w:type="spellStart"/>
      <w:r w:rsidRPr="00292FF5">
        <w:rPr>
          <w:rFonts w:ascii="Arial" w:eastAsia="Times New Roman" w:hAnsi="Arial" w:cs="Arial"/>
          <w:color w:val="000000"/>
          <w:kern w:val="0"/>
          <w14:ligatures w14:val="none"/>
        </w:rPr>
        <w:t>i</w:t>
      </w:r>
      <w:proofErr w:type="spellEnd"/>
      <w:r w:rsidRPr="00292FF5">
        <w:rPr>
          <w:rFonts w:ascii="Arial" w:eastAsia="Times New Roman" w:hAnsi="Arial" w:cs="Arial"/>
          <w:color w:val="000000"/>
          <w:kern w:val="0"/>
          <w14:ligatures w14:val="none"/>
        </w:rPr>
        <w:t xml:space="preserve">) after a 48-hour acclimation period, ii) after treatments were applied, iii) shortly after exposure to an environmental stressor, and iv) one week after exposure to the stressor. Results suggest that high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levels, but not Cd, impact the baseline and natural stress response in largemouth bass. This study has implications for understanding PFAS toxicity, particularly in the context of climate change and saltwater intrusion. The NLR is identified as a robust proxy for stress and is conserved across vertebrate taxa; therefore, the feasibility of predicting a similar response in other aquatic taxa exposed to these xenobiotic substances remains.</w:t>
      </w:r>
    </w:p>
    <w:p w14:paraId="3A69F39F" w14:textId="77777777" w:rsidR="00292FF5" w:rsidRDefault="00292FF5">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0DB3FCFF" w14:textId="77777777" w:rsidR="009B7318" w:rsidRPr="009B7318" w:rsidRDefault="0045522C" w:rsidP="009B7318">
      <w:pPr>
        <w:spacing w:line="480" w:lineRule="auto"/>
        <w:rPr>
          <w:rFonts w:ascii="Arial" w:eastAsia="Times New Roman" w:hAnsi="Arial" w:cs="Arial"/>
          <w:b/>
          <w:bCs/>
          <w:kern w:val="0"/>
          <w14:ligatures w14:val="none"/>
        </w:rPr>
      </w:pPr>
      <w:r>
        <w:rPr>
          <w:rFonts w:ascii="Arial" w:eastAsia="Times New Roman" w:hAnsi="Arial" w:cs="Arial"/>
          <w:b/>
          <w:bCs/>
          <w:color w:val="000000"/>
          <w:kern w:val="0"/>
          <w14:ligatures w14:val="none"/>
        </w:rPr>
        <w:lastRenderedPageBreak/>
        <w:t xml:space="preserve">1. </w:t>
      </w:r>
      <w:r w:rsidR="00292FF5" w:rsidRPr="00292FF5">
        <w:rPr>
          <w:rFonts w:ascii="Arial" w:eastAsia="Times New Roman" w:hAnsi="Arial" w:cs="Arial"/>
          <w:b/>
          <w:bCs/>
          <w:color w:val="000000"/>
          <w:kern w:val="0"/>
          <w14:ligatures w14:val="none"/>
        </w:rPr>
        <w:t>Introduction</w:t>
      </w:r>
    </w:p>
    <w:p w14:paraId="4CFD7B22" w14:textId="77777777" w:rsidR="009B7318" w:rsidRDefault="00292FF5" w:rsidP="009B7318">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Th</w:t>
      </w:r>
      <w:r w:rsidR="009B7318">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impacts of human disturbance on aquatic environments are widespread and well-documented </w:t>
      </w:r>
      <w:hyperlink r:id="rId4" w:history="1">
        <w:r w:rsidRPr="00292FF5">
          <w:rPr>
            <w:rFonts w:ascii="Arial" w:eastAsia="Times New Roman" w:hAnsi="Arial" w:cs="Arial"/>
            <w:color w:val="0000FF"/>
            <w:kern w:val="0"/>
            <w:u w:val="single"/>
            <w14:ligatures w14:val="none"/>
          </w:rPr>
          <w:t xml:space="preserve">(Gangloff et al., 2016; </w:t>
        </w:r>
        <w:proofErr w:type="spellStart"/>
        <w:r w:rsidRPr="00292FF5">
          <w:rPr>
            <w:rFonts w:ascii="Arial" w:eastAsia="Times New Roman" w:hAnsi="Arial" w:cs="Arial"/>
            <w:color w:val="0000FF"/>
            <w:kern w:val="0"/>
            <w:u w:val="single"/>
            <w14:ligatures w14:val="none"/>
          </w:rPr>
          <w:t>Sabater</w:t>
        </w:r>
        <w:proofErr w:type="spellEnd"/>
        <w:r w:rsidRPr="00292FF5">
          <w:rPr>
            <w:rFonts w:ascii="Arial" w:eastAsia="Times New Roman" w:hAnsi="Arial" w:cs="Arial"/>
            <w:color w:val="0000FF"/>
            <w:kern w:val="0"/>
            <w:u w:val="single"/>
            <w14:ligatures w14:val="none"/>
          </w:rPr>
          <w:t xml:space="preserve"> et al., 2018)</w:t>
        </w:r>
      </w:hyperlink>
      <w:r w:rsidRPr="00292FF5">
        <w:rPr>
          <w:rFonts w:ascii="Arial" w:eastAsia="Times New Roman" w:hAnsi="Arial" w:cs="Arial"/>
          <w:color w:val="000000"/>
          <w:kern w:val="0"/>
          <w14:ligatures w14:val="none"/>
        </w:rPr>
        <w:t xml:space="preserve">. One critical way humans alter aquatic environments is by introducing and amassing organic and inorganic pollutants (i.e., xenobiotic substances) into the ecosystem. For instance, human activities (e.g., mining, agriculture, industrialization, and urbanization have increased the presence and abundance of soil and groundwater heavy metal contaminants </w:t>
      </w:r>
      <w:hyperlink r:id="rId5" w:history="1">
        <w:r w:rsidRPr="00292FF5">
          <w:rPr>
            <w:rFonts w:ascii="Arial" w:eastAsia="Times New Roman" w:hAnsi="Arial" w:cs="Arial"/>
            <w:color w:val="0000FF"/>
            <w:kern w:val="0"/>
            <w:u w:val="single"/>
            <w14:ligatures w14:val="none"/>
          </w:rPr>
          <w:t>(Ritter, 2002; K. S. Murray et al., 2004; Cannon &amp; Horton, 2009; Santana et al., 2020)</w:t>
        </w:r>
      </w:hyperlink>
      <w:r w:rsidRPr="00292FF5">
        <w:rPr>
          <w:rFonts w:ascii="Arial" w:eastAsia="Times New Roman" w:hAnsi="Arial" w:cs="Arial"/>
          <w:color w:val="000000"/>
          <w:kern w:val="0"/>
          <w14:ligatures w14:val="none"/>
        </w:rPr>
        <w:t xml:space="preserve">. One such heavy metal, cadmium (Cd), is among the environment’s most hazardous and mobile elements </w:t>
      </w:r>
      <w:hyperlink r:id="rId6" w:history="1">
        <w:r w:rsidRPr="00292FF5">
          <w:rPr>
            <w:rFonts w:ascii="Arial" w:eastAsia="Times New Roman" w:hAnsi="Arial" w:cs="Arial"/>
            <w:color w:val="0000FF"/>
            <w:kern w:val="0"/>
            <w:u w:val="single"/>
            <w14:ligatures w14:val="none"/>
          </w:rPr>
          <w:t xml:space="preserve">(Alloway &amp; Jackson, 1991; </w:t>
        </w:r>
        <w:proofErr w:type="spellStart"/>
        <w:r w:rsidRPr="00292FF5">
          <w:rPr>
            <w:rFonts w:ascii="Arial" w:eastAsia="Times New Roman" w:hAnsi="Arial" w:cs="Arial"/>
            <w:color w:val="0000FF"/>
            <w:kern w:val="0"/>
            <w:u w:val="single"/>
            <w14:ligatures w14:val="none"/>
          </w:rPr>
          <w:t>Nies</w:t>
        </w:r>
        <w:proofErr w:type="spellEnd"/>
        <w:r w:rsidRPr="00292FF5">
          <w:rPr>
            <w:rFonts w:ascii="Arial" w:eastAsia="Times New Roman" w:hAnsi="Arial" w:cs="Arial"/>
            <w:color w:val="0000FF"/>
            <w:kern w:val="0"/>
            <w:u w:val="single"/>
            <w14:ligatures w14:val="none"/>
          </w:rPr>
          <w:t xml:space="preserve">, 1999, 2003; </w:t>
        </w:r>
        <w:proofErr w:type="spellStart"/>
        <w:r w:rsidRPr="00292FF5">
          <w:rPr>
            <w:rFonts w:ascii="Arial" w:eastAsia="Times New Roman" w:hAnsi="Arial" w:cs="Arial"/>
            <w:color w:val="0000FF"/>
            <w:kern w:val="0"/>
            <w:u w:val="single"/>
            <w14:ligatures w14:val="none"/>
          </w:rPr>
          <w:t>Kubier</w:t>
        </w:r>
        <w:proofErr w:type="spellEnd"/>
        <w:r w:rsidRPr="00292FF5">
          <w:rPr>
            <w:rFonts w:ascii="Arial" w:eastAsia="Times New Roman" w:hAnsi="Arial" w:cs="Arial"/>
            <w:color w:val="0000FF"/>
            <w:kern w:val="0"/>
            <w:u w:val="single"/>
            <w14:ligatures w14:val="none"/>
          </w:rPr>
          <w:t xml:space="preserve"> et al., 2019)</w:t>
        </w:r>
      </w:hyperlink>
      <w:r w:rsidRPr="00292FF5">
        <w:rPr>
          <w:rFonts w:ascii="Arial" w:eastAsia="Times New Roman" w:hAnsi="Arial" w:cs="Arial"/>
          <w:color w:val="000000"/>
          <w:kern w:val="0"/>
          <w14:ligatures w14:val="none"/>
        </w:rPr>
        <w:t xml:space="preserve">. Although Cd is a naturally occurring element in the earth’s crust and oceans, Cd is a toxic, carcinogenic, non-essential metal with no known biological function </w:t>
      </w:r>
      <w:hyperlink r:id="rId7"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Kubier</w:t>
        </w:r>
        <w:proofErr w:type="spellEnd"/>
        <w:r w:rsidRPr="00292FF5">
          <w:rPr>
            <w:rFonts w:ascii="Arial" w:eastAsia="Times New Roman" w:hAnsi="Arial" w:cs="Arial"/>
            <w:color w:val="0000FF"/>
            <w:kern w:val="0"/>
            <w:u w:val="single"/>
            <w14:ligatures w14:val="none"/>
          </w:rPr>
          <w:t xml:space="preserve"> et al., 2019)</w:t>
        </w:r>
      </w:hyperlink>
      <w:r w:rsidRPr="00292FF5">
        <w:rPr>
          <w:rFonts w:ascii="Arial" w:eastAsia="Times New Roman" w:hAnsi="Arial" w:cs="Arial"/>
          <w:color w:val="000000"/>
          <w:kern w:val="0"/>
          <w14:ligatures w14:val="none"/>
        </w:rPr>
        <w:t xml:space="preserve">. Research on Cd has increased dramatically over the last 20 years </w:t>
      </w:r>
      <w:hyperlink r:id="rId8" w:history="1">
        <w:r w:rsidRPr="00292FF5">
          <w:rPr>
            <w:rFonts w:ascii="Arial" w:eastAsia="Times New Roman" w:hAnsi="Arial" w:cs="Arial"/>
            <w:color w:val="CC2936"/>
            <w:kern w:val="0"/>
            <w:u w:val="single"/>
            <w14:ligatures w14:val="none"/>
          </w:rPr>
          <w:t>(Irfan et al., 2023)</w:t>
        </w:r>
      </w:hyperlink>
      <w:r w:rsidRPr="00292FF5">
        <w:rPr>
          <w:rFonts w:ascii="Arial" w:eastAsia="Times New Roman" w:hAnsi="Arial" w:cs="Arial"/>
          <w:color w:val="000000"/>
          <w:kern w:val="0"/>
          <w14:ligatures w14:val="none"/>
        </w:rPr>
        <w:t xml:space="preserve">, with heightened attention focused on Cd toxicity due to human health and wildlife exposure concerns </w:t>
      </w:r>
      <w:hyperlink r:id="rId9" w:history="1">
        <w:r w:rsidRPr="00292FF5">
          <w:rPr>
            <w:rFonts w:ascii="Arial" w:eastAsia="Times New Roman" w:hAnsi="Arial" w:cs="Arial"/>
            <w:color w:val="CC2936"/>
            <w:kern w:val="0"/>
            <w:u w:val="single"/>
            <w14:ligatures w14:val="none"/>
          </w:rPr>
          <w:t>(</w:t>
        </w:r>
        <w:proofErr w:type="spellStart"/>
        <w:r w:rsidRPr="00292FF5">
          <w:rPr>
            <w:rFonts w:ascii="Arial" w:eastAsia="Times New Roman" w:hAnsi="Arial" w:cs="Arial"/>
            <w:color w:val="CC2936"/>
            <w:kern w:val="0"/>
            <w:u w:val="single"/>
            <w14:ligatures w14:val="none"/>
          </w:rPr>
          <w:t>Genchi</w:t>
        </w:r>
        <w:proofErr w:type="spellEnd"/>
        <w:r w:rsidRPr="00292FF5">
          <w:rPr>
            <w:rFonts w:ascii="Arial" w:eastAsia="Times New Roman" w:hAnsi="Arial" w:cs="Arial"/>
            <w:color w:val="CC2936"/>
            <w:kern w:val="0"/>
            <w:u w:val="single"/>
            <w14:ligatures w14:val="none"/>
          </w:rPr>
          <w:t xml:space="preserve"> et al., 2020; Y. Liu et al., 2022; H. Liu et al., 2023)</w:t>
        </w:r>
      </w:hyperlink>
      <w:r w:rsidRPr="00292FF5">
        <w:rPr>
          <w:rFonts w:ascii="Arial" w:eastAsia="Times New Roman" w:hAnsi="Arial" w:cs="Arial"/>
          <w:color w:val="000000"/>
          <w:kern w:val="0"/>
          <w14:ligatures w14:val="none"/>
        </w:rPr>
        <w:t xml:space="preserve">. Despite efforts to limit and regulate Cd introduction and presence throughout the last decade </w:t>
      </w:r>
      <w:hyperlink r:id="rId10" w:history="1">
        <w:r w:rsidRPr="00292FF5">
          <w:rPr>
            <w:rFonts w:ascii="Arial" w:eastAsia="Times New Roman" w:hAnsi="Arial" w:cs="Arial"/>
            <w:color w:val="0000FF"/>
            <w:kern w:val="0"/>
            <w:u w:val="single"/>
            <w14:ligatures w14:val="none"/>
          </w:rPr>
          <w:t>(Marini et al., 2020)</w:t>
        </w:r>
      </w:hyperlink>
      <w:r w:rsidRPr="00292FF5">
        <w:rPr>
          <w:rFonts w:ascii="Arial" w:eastAsia="Times New Roman" w:hAnsi="Arial" w:cs="Arial"/>
          <w:color w:val="000000"/>
          <w:kern w:val="0"/>
          <w14:ligatures w14:val="none"/>
        </w:rPr>
        <w:t xml:space="preserve">, Cd persists in our aquatic environments and will continue to progress within aquatic food webs </w:t>
      </w:r>
      <w:hyperlink r:id="rId11" w:history="1">
        <w:r w:rsidRPr="00292FF5">
          <w:rPr>
            <w:rFonts w:ascii="Arial" w:eastAsia="Times New Roman" w:hAnsi="Arial" w:cs="Arial"/>
            <w:color w:val="0000FF"/>
            <w:kern w:val="0"/>
            <w:u w:val="single"/>
            <w14:ligatures w14:val="none"/>
          </w:rPr>
          <w:t>(Croteau et al., 2005)</w:t>
        </w:r>
      </w:hyperlink>
      <w:r w:rsidRPr="00292FF5">
        <w:rPr>
          <w:rFonts w:ascii="Arial" w:eastAsia="Times New Roman" w:hAnsi="Arial" w:cs="Arial"/>
          <w:color w:val="000000"/>
          <w:kern w:val="0"/>
          <w14:ligatures w14:val="none"/>
        </w:rPr>
        <w:t>.</w:t>
      </w:r>
    </w:p>
    <w:p w14:paraId="33699F8B" w14:textId="77777777" w:rsidR="009B7318" w:rsidRDefault="00292FF5" w:rsidP="009B7318">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Like heavy metals, synthetic chemicals—another group of xenobiotic substances—pose a risk to aquatic environments. Humans have intentionally and unintentionally released synthetic chemicals into natural systems, exposing organisms to adverse effects. For instance, DDT and its metabolites have been intentionally released to control pests and the spread of diseases, but have also been unintentionally </w:t>
      </w:r>
      <w:r w:rsidRPr="00292FF5">
        <w:rPr>
          <w:rFonts w:ascii="Arial" w:eastAsia="Times New Roman" w:hAnsi="Arial" w:cs="Arial"/>
          <w:color w:val="000000"/>
          <w:kern w:val="0"/>
          <w14:ligatures w14:val="none"/>
        </w:rPr>
        <w:lastRenderedPageBreak/>
        <w:t xml:space="preserve">released due to chemical spills, all of which are reported to cause adverse effects on wildlife </w:t>
      </w:r>
      <w:hyperlink r:id="rId12" w:history="1">
        <w:r w:rsidRPr="00292FF5">
          <w:rPr>
            <w:rFonts w:ascii="Arial" w:eastAsia="Times New Roman" w:hAnsi="Arial" w:cs="Arial"/>
            <w:color w:val="0000FF"/>
            <w:kern w:val="0"/>
            <w:u w:val="single"/>
            <w14:ligatures w14:val="none"/>
          </w:rPr>
          <w:t xml:space="preserve">(L. J.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2005; Milnes &amp;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2008)</w:t>
        </w:r>
      </w:hyperlink>
      <w:r w:rsidRPr="00292FF5">
        <w:rPr>
          <w:rFonts w:ascii="Arial" w:eastAsia="Times New Roman" w:hAnsi="Arial" w:cs="Arial"/>
          <w:color w:val="000000"/>
          <w:kern w:val="0"/>
          <w14:ligatures w14:val="none"/>
        </w:rPr>
        <w:t xml:space="preserve">. A notable class of synthetic chemicals under increased scrutiny are per- and polyfluorinated substances (referred to hereafter as PFAS), which include over 4,000 chemicals  </w:t>
      </w:r>
      <w:hyperlink r:id="rId13" w:history="1">
        <w:r w:rsidRPr="00292FF5">
          <w:rPr>
            <w:rFonts w:ascii="Arial" w:eastAsia="Times New Roman" w:hAnsi="Arial" w:cs="Arial"/>
            <w:color w:val="0000FF"/>
            <w:kern w:val="0"/>
            <w:u w:val="single"/>
            <w14:ligatures w14:val="none"/>
          </w:rPr>
          <w:t xml:space="preserve">(T. C.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2020; Ma et al., 2023)</w:t>
        </w:r>
      </w:hyperlink>
      <w:r w:rsidRPr="00292FF5">
        <w:rPr>
          <w:rFonts w:ascii="Arial" w:eastAsia="Times New Roman" w:hAnsi="Arial" w:cs="Arial"/>
          <w:color w:val="000000"/>
          <w:kern w:val="0"/>
          <w14:ligatures w14:val="none"/>
        </w:rPr>
        <w:t xml:space="preserve">. PFAS chemicals are lipophobic and hydrophobic with resistance to degradation and, thus, have been used in a variety of industrial applications </w:t>
      </w:r>
      <w:hyperlink r:id="rId14"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Abunada</w:t>
        </w:r>
        <w:proofErr w:type="spellEnd"/>
        <w:r w:rsidRPr="00292FF5">
          <w:rPr>
            <w:rFonts w:ascii="Arial" w:eastAsia="Times New Roman" w:hAnsi="Arial" w:cs="Arial"/>
            <w:color w:val="0000FF"/>
            <w:kern w:val="0"/>
            <w:u w:val="single"/>
            <w14:ligatures w14:val="none"/>
          </w:rPr>
          <w:t xml:space="preserve"> et al., 2020; Buck et al., 2011; Gaines, 2023)</w:t>
        </w:r>
      </w:hyperlink>
      <w:r w:rsidRPr="00292FF5">
        <w:rPr>
          <w:rFonts w:ascii="Arial" w:eastAsia="Times New Roman" w:hAnsi="Arial" w:cs="Arial"/>
          <w:color w:val="000000"/>
          <w:kern w:val="0"/>
          <w14:ligatures w14:val="none"/>
        </w:rPr>
        <w:t xml:space="preserve">, resulting in their prevalence in nature now likely ample and widespread </w:t>
      </w:r>
      <w:hyperlink r:id="rId15"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Kurwadkar</w:t>
        </w:r>
        <w:proofErr w:type="spellEnd"/>
        <w:r w:rsidRPr="00292FF5">
          <w:rPr>
            <w:rFonts w:ascii="Arial" w:eastAsia="Times New Roman" w:hAnsi="Arial" w:cs="Arial"/>
            <w:color w:val="0000FF"/>
            <w:kern w:val="0"/>
            <w:u w:val="single"/>
            <w14:ligatures w14:val="none"/>
          </w:rPr>
          <w:t xml:space="preserve"> et al., 2022)</w:t>
        </w:r>
      </w:hyperlink>
      <w:r w:rsidRPr="00292FF5">
        <w:rPr>
          <w:rFonts w:ascii="Arial" w:eastAsia="Times New Roman" w:hAnsi="Arial" w:cs="Arial"/>
          <w:color w:val="000000"/>
          <w:kern w:val="0"/>
          <w14:ligatures w14:val="none"/>
        </w:rPr>
        <w:t xml:space="preserve">. Like Cd, research on the effects of PFAS has increased dramatically over the last two decades </w:t>
      </w:r>
      <w:hyperlink r:id="rId16"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Abunada</w:t>
        </w:r>
        <w:proofErr w:type="spellEnd"/>
        <w:r w:rsidRPr="00292FF5">
          <w:rPr>
            <w:rFonts w:ascii="Arial" w:eastAsia="Times New Roman" w:hAnsi="Arial" w:cs="Arial"/>
            <w:color w:val="0000FF"/>
            <w:kern w:val="0"/>
            <w:u w:val="single"/>
            <w14:ligatures w14:val="none"/>
          </w:rPr>
          <w:t xml:space="preserve"> et al., 2020)</w:t>
        </w:r>
      </w:hyperlink>
      <w:r w:rsidRPr="00292FF5">
        <w:rPr>
          <w:rFonts w:ascii="Arial" w:eastAsia="Times New Roman" w:hAnsi="Arial" w:cs="Arial"/>
          <w:color w:val="000000"/>
          <w:kern w:val="0"/>
          <w14:ligatures w14:val="none"/>
        </w:rPr>
        <w:t xml:space="preserve">. However, only the toxic effects of a few PFAS chemicals are well understood </w:t>
      </w:r>
      <w:hyperlink r:id="rId17" w:history="1">
        <w:r w:rsidRPr="00292FF5">
          <w:rPr>
            <w:rFonts w:ascii="Arial" w:eastAsia="Times New Roman" w:hAnsi="Arial" w:cs="Arial"/>
            <w:color w:val="0000FF"/>
            <w:kern w:val="0"/>
            <w:u w:val="single"/>
            <w14:ligatures w14:val="none"/>
          </w:rPr>
          <w:t>(Fenton et al., 2021)</w:t>
        </w:r>
      </w:hyperlink>
      <w:r w:rsidRPr="00292FF5">
        <w:rPr>
          <w:rFonts w:ascii="Arial" w:eastAsia="Times New Roman" w:hAnsi="Arial" w:cs="Arial"/>
          <w:color w:val="000000"/>
          <w:kern w:val="0"/>
          <w14:ligatures w14:val="none"/>
        </w:rPr>
        <w:t>. </w:t>
      </w:r>
    </w:p>
    <w:p w14:paraId="761A6951" w14:textId="77777777" w:rsidR="00292FF5" w:rsidRPr="00292FF5" w:rsidRDefault="00292FF5" w:rsidP="009B7318">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Unfortunately, many xenobiotic substances end up in water systems, where they are often translocated away from the original point source. Once in the water, these toxins pose a risk to many aquatic organisms as toxins can actively enter the body through digestion or passively through contact with skin or gills </w:t>
      </w:r>
      <w:hyperlink r:id="rId18"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Subaramaniyam</w:t>
        </w:r>
        <w:proofErr w:type="spellEnd"/>
        <w:r w:rsidRPr="00292FF5">
          <w:rPr>
            <w:rFonts w:ascii="Arial" w:eastAsia="Times New Roman" w:hAnsi="Arial" w:cs="Arial"/>
            <w:color w:val="0000FF"/>
            <w:kern w:val="0"/>
            <w:u w:val="single"/>
            <w14:ligatures w14:val="none"/>
          </w:rPr>
          <w:t xml:space="preserve"> et al., 2023)</w:t>
        </w:r>
      </w:hyperlink>
      <w:r w:rsidRPr="00292FF5">
        <w:rPr>
          <w:rFonts w:ascii="Arial" w:eastAsia="Times New Roman" w:hAnsi="Arial" w:cs="Arial"/>
          <w:color w:val="000000"/>
          <w:kern w:val="0"/>
          <w14:ligatures w14:val="none"/>
        </w:rPr>
        <w:t xml:space="preserve">. Therefore, aquatic organisms have limited potential to buffer themselves from xenobiotic substances </w:t>
      </w:r>
      <w:hyperlink r:id="rId19" w:history="1">
        <w:r w:rsidRPr="00292FF5">
          <w:rPr>
            <w:rFonts w:ascii="Arial" w:eastAsia="Times New Roman" w:hAnsi="Arial" w:cs="Arial"/>
            <w:color w:val="CC2936"/>
            <w:kern w:val="0"/>
            <w:u w:val="single"/>
            <w14:ligatures w14:val="none"/>
          </w:rPr>
          <w:t xml:space="preserve">(Williams &amp; </w:t>
        </w:r>
        <w:proofErr w:type="spellStart"/>
        <w:r w:rsidRPr="00292FF5">
          <w:rPr>
            <w:rFonts w:ascii="Arial" w:eastAsia="Times New Roman" w:hAnsi="Arial" w:cs="Arial"/>
            <w:color w:val="CC2936"/>
            <w:kern w:val="0"/>
            <w:u w:val="single"/>
            <w14:ligatures w14:val="none"/>
          </w:rPr>
          <w:t>Giesy</w:t>
        </w:r>
        <w:proofErr w:type="spellEnd"/>
        <w:r w:rsidRPr="00292FF5">
          <w:rPr>
            <w:rFonts w:ascii="Arial" w:eastAsia="Times New Roman" w:hAnsi="Arial" w:cs="Arial"/>
            <w:color w:val="CC2936"/>
            <w:kern w:val="0"/>
            <w:u w:val="single"/>
            <w14:ligatures w14:val="none"/>
          </w:rPr>
          <w:t>, 1978)</w:t>
        </w:r>
      </w:hyperlink>
      <w:r w:rsidRPr="00292FF5">
        <w:rPr>
          <w:rFonts w:ascii="Arial" w:eastAsia="Times New Roman" w:hAnsi="Arial" w:cs="Arial"/>
          <w:color w:val="000000"/>
          <w:kern w:val="0"/>
          <w14:ligatures w14:val="none"/>
        </w:rPr>
        <w:t xml:space="preserve">, such as Cd and PFAS, exposing the organisms to potentially harmful effects from contaminant accumulation </w:t>
      </w:r>
      <w:hyperlink r:id="rId20" w:history="1">
        <w:r w:rsidRPr="00292FF5">
          <w:rPr>
            <w:rFonts w:ascii="Arial" w:eastAsia="Times New Roman" w:hAnsi="Arial" w:cs="Arial"/>
            <w:color w:val="0000FF"/>
            <w:kern w:val="0"/>
            <w:u w:val="single"/>
            <w14:ligatures w14:val="none"/>
          </w:rPr>
          <w:t xml:space="preserve">(L. J.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1995; Scholz &amp; </w:t>
        </w:r>
        <w:proofErr w:type="spellStart"/>
        <w:r w:rsidRPr="00292FF5">
          <w:rPr>
            <w:rFonts w:ascii="Arial" w:eastAsia="Times New Roman" w:hAnsi="Arial" w:cs="Arial"/>
            <w:color w:val="0000FF"/>
            <w:kern w:val="0"/>
            <w:u w:val="single"/>
            <w14:ligatures w14:val="none"/>
          </w:rPr>
          <w:t>Klüver</w:t>
        </w:r>
        <w:proofErr w:type="spellEnd"/>
        <w:r w:rsidRPr="00292FF5">
          <w:rPr>
            <w:rFonts w:ascii="Arial" w:eastAsia="Times New Roman" w:hAnsi="Arial" w:cs="Arial"/>
            <w:color w:val="0000FF"/>
            <w:kern w:val="0"/>
            <w:u w:val="single"/>
            <w14:ligatures w14:val="none"/>
          </w:rPr>
          <w:t>, 2009; Kumar et al., 2019)</w:t>
        </w:r>
      </w:hyperlink>
      <w:r w:rsidRPr="00292FF5">
        <w:rPr>
          <w:rFonts w:ascii="Arial" w:eastAsia="Times New Roman" w:hAnsi="Arial" w:cs="Arial"/>
          <w:color w:val="000000"/>
          <w:kern w:val="0"/>
          <w14:ligatures w14:val="none"/>
        </w:rPr>
        <w:t xml:space="preserve">. Once exposed to xenobiotic substances, aquatic organisms likely experience a stress response </w:t>
      </w:r>
      <w:hyperlink r:id="rId21"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Hontela</w:t>
        </w:r>
        <w:proofErr w:type="spellEnd"/>
        <w:r w:rsidRPr="00292FF5">
          <w:rPr>
            <w:rFonts w:ascii="Arial" w:eastAsia="Times New Roman" w:hAnsi="Arial" w:cs="Arial"/>
            <w:color w:val="0000FF"/>
            <w:kern w:val="0"/>
            <w:u w:val="single"/>
            <w14:ligatures w14:val="none"/>
          </w:rPr>
          <w:t xml:space="preserve"> et al., 1992; Wilson et al., 1998; Silvestre, 2020)</w:t>
        </w:r>
      </w:hyperlink>
      <w:r w:rsidRPr="00292FF5">
        <w:rPr>
          <w:rFonts w:ascii="Arial" w:eastAsia="Times New Roman" w:hAnsi="Arial" w:cs="Arial"/>
          <w:color w:val="000000"/>
          <w:kern w:val="0"/>
          <w14:ligatures w14:val="none"/>
        </w:rPr>
        <w:t xml:space="preserve">. Then, if exposure to stressful conditions persists (i.e., chronic stress), these organisms may experience suppressed growth, reduced reproductive capacity, and even death </w:t>
      </w:r>
      <w:hyperlink r:id="rId22" w:history="1">
        <w:r w:rsidRPr="00292FF5">
          <w:rPr>
            <w:rFonts w:ascii="Arial" w:eastAsia="Times New Roman" w:hAnsi="Arial" w:cs="Arial"/>
            <w:color w:val="0000FF"/>
            <w:kern w:val="0"/>
            <w:u w:val="single"/>
            <w14:ligatures w14:val="none"/>
          </w:rPr>
          <w:t xml:space="preserve">(Pankhurst &amp; Van der </w:t>
        </w:r>
        <w:proofErr w:type="spellStart"/>
        <w:r w:rsidRPr="00292FF5">
          <w:rPr>
            <w:rFonts w:ascii="Arial" w:eastAsia="Times New Roman" w:hAnsi="Arial" w:cs="Arial"/>
            <w:color w:val="0000FF"/>
            <w:kern w:val="0"/>
            <w:u w:val="single"/>
            <w14:ligatures w14:val="none"/>
          </w:rPr>
          <w:t>Kraak</w:t>
        </w:r>
        <w:proofErr w:type="spellEnd"/>
        <w:r w:rsidRPr="00292FF5">
          <w:rPr>
            <w:rFonts w:ascii="Arial" w:eastAsia="Times New Roman" w:hAnsi="Arial" w:cs="Arial"/>
            <w:color w:val="0000FF"/>
            <w:kern w:val="0"/>
            <w:u w:val="single"/>
            <w14:ligatures w14:val="none"/>
          </w:rPr>
          <w:t xml:space="preserve">, 1997; </w:t>
        </w:r>
        <w:r w:rsidRPr="00292FF5">
          <w:rPr>
            <w:rFonts w:ascii="Arial" w:eastAsia="Times New Roman" w:hAnsi="Arial" w:cs="Arial"/>
            <w:color w:val="0000FF"/>
            <w:kern w:val="0"/>
            <w:u w:val="single"/>
            <w14:ligatures w14:val="none"/>
          </w:rPr>
          <w:lastRenderedPageBreak/>
          <w:t>Schreck, 2010)</w:t>
        </w:r>
      </w:hyperlink>
      <w:r w:rsidRPr="00292FF5">
        <w:rPr>
          <w:rFonts w:ascii="Arial" w:eastAsia="Times New Roman" w:hAnsi="Arial" w:cs="Arial"/>
          <w:color w:val="000000"/>
          <w:kern w:val="0"/>
          <w14:ligatures w14:val="none"/>
        </w:rPr>
        <w:t xml:space="preserve">. More specifically, Cd may outcompete calcium for binding sites when Cd enters through the calcium ion channels in gills </w:t>
      </w:r>
      <w:hyperlink r:id="rId23" w:history="1">
        <w:r w:rsidRPr="00292FF5">
          <w:rPr>
            <w:rFonts w:ascii="Arial" w:eastAsia="Times New Roman" w:hAnsi="Arial" w:cs="Arial"/>
            <w:color w:val="0000FF"/>
            <w:kern w:val="0"/>
            <w:u w:val="single"/>
            <w14:ligatures w14:val="none"/>
          </w:rPr>
          <w:t>(Wright &amp; Welbourn, 1994; Franklin et al., 2005)</w:t>
        </w:r>
      </w:hyperlink>
      <w:r w:rsidRPr="00292FF5">
        <w:rPr>
          <w:rFonts w:ascii="Arial" w:eastAsia="Times New Roman" w:hAnsi="Arial" w:cs="Arial"/>
          <w:color w:val="000000"/>
          <w:kern w:val="0"/>
          <w14:ligatures w14:val="none"/>
        </w:rPr>
        <w:t xml:space="preserve">. In a review of Cd’s toxic effects on fishes, Cd was associated with negative impacts on the endocrine, immune, and nervous systems, leading to significant reductions in fitness and, in some cases, mortality </w:t>
      </w:r>
      <w:hyperlink r:id="rId24" w:history="1">
        <w:r w:rsidRPr="00292FF5">
          <w:rPr>
            <w:rFonts w:ascii="Arial" w:eastAsia="Times New Roman" w:hAnsi="Arial" w:cs="Arial"/>
            <w:color w:val="0000FF"/>
            <w:kern w:val="0"/>
            <w:u w:val="single"/>
            <w14:ligatures w14:val="none"/>
          </w:rPr>
          <w:t>(Liu et al., 2022)</w:t>
        </w:r>
      </w:hyperlink>
      <w:r w:rsidRPr="00292FF5">
        <w:rPr>
          <w:rFonts w:ascii="Arial" w:eastAsia="Times New Roman" w:hAnsi="Arial" w:cs="Arial"/>
          <w:color w:val="000000"/>
          <w:kern w:val="0"/>
          <w14:ligatures w14:val="none"/>
        </w:rPr>
        <w:t xml:space="preserve">. Like Cd, the harmful effects of several PFAS chemicals on fishes include dysregulation of endocrine function </w:t>
      </w:r>
      <w:hyperlink r:id="rId25"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Coperchini</w:t>
        </w:r>
        <w:proofErr w:type="spellEnd"/>
        <w:r w:rsidRPr="00292FF5">
          <w:rPr>
            <w:rFonts w:ascii="Arial" w:eastAsia="Times New Roman" w:hAnsi="Arial" w:cs="Arial"/>
            <w:color w:val="0000FF"/>
            <w:kern w:val="0"/>
            <w:u w:val="single"/>
            <w14:ligatures w14:val="none"/>
          </w:rPr>
          <w:t xml:space="preserve"> et al., 2021; Nayak et al., 2023)</w:t>
        </w:r>
      </w:hyperlink>
      <w:r w:rsidRPr="00292FF5">
        <w:rPr>
          <w:rFonts w:ascii="Arial" w:eastAsia="Times New Roman" w:hAnsi="Arial" w:cs="Arial"/>
          <w:color w:val="000000"/>
          <w:kern w:val="0"/>
          <w14:ligatures w14:val="none"/>
        </w:rPr>
        <w:t xml:space="preserve">, modulation of the immune system </w:t>
      </w:r>
      <w:hyperlink r:id="rId26" w:history="1">
        <w:r w:rsidRPr="00292FF5">
          <w:rPr>
            <w:rFonts w:ascii="Arial" w:eastAsia="Times New Roman" w:hAnsi="Arial" w:cs="Arial"/>
            <w:color w:val="0000FF"/>
            <w:kern w:val="0"/>
            <w:u w:val="single"/>
            <w14:ligatures w14:val="none"/>
          </w:rPr>
          <w:t xml:space="preserve">(Fang et al., 2013; </w:t>
        </w:r>
        <w:proofErr w:type="spellStart"/>
        <w:r w:rsidRPr="00292FF5">
          <w:rPr>
            <w:rFonts w:ascii="Arial" w:eastAsia="Times New Roman" w:hAnsi="Arial" w:cs="Arial"/>
            <w:color w:val="0000FF"/>
            <w:kern w:val="0"/>
            <w:u w:val="single"/>
            <w14:ligatures w14:val="none"/>
          </w:rPr>
          <w:t>Guillette</w:t>
        </w:r>
        <w:proofErr w:type="spellEnd"/>
        <w:r w:rsidRPr="00292FF5">
          <w:rPr>
            <w:rFonts w:ascii="Arial" w:eastAsia="Times New Roman" w:hAnsi="Arial" w:cs="Arial"/>
            <w:color w:val="0000FF"/>
            <w:kern w:val="0"/>
            <w:u w:val="single"/>
            <w14:ligatures w14:val="none"/>
          </w:rPr>
          <w:t xml:space="preserve"> et al., 2020)</w:t>
        </w:r>
      </w:hyperlink>
      <w:r w:rsidRPr="00292FF5">
        <w:rPr>
          <w:rFonts w:ascii="Arial" w:eastAsia="Times New Roman" w:hAnsi="Arial" w:cs="Arial"/>
          <w:color w:val="000000"/>
          <w:kern w:val="0"/>
          <w14:ligatures w14:val="none"/>
        </w:rPr>
        <w:t xml:space="preserve">, and harm to the nervous system, altering brain function and behavior </w:t>
      </w:r>
      <w:hyperlink r:id="rId27" w:history="1">
        <w:r w:rsidRPr="00292FF5">
          <w:rPr>
            <w:rFonts w:ascii="Arial" w:eastAsia="Times New Roman" w:hAnsi="Arial" w:cs="Arial"/>
            <w:color w:val="0000FF"/>
            <w:kern w:val="0"/>
            <w:u w:val="single"/>
            <w14:ligatures w14:val="none"/>
          </w:rPr>
          <w:t>(Starnes et al., 2022)</w:t>
        </w:r>
      </w:hyperlink>
      <w:r w:rsidRPr="00292FF5">
        <w:rPr>
          <w:rFonts w:ascii="Arial" w:eastAsia="Times New Roman" w:hAnsi="Arial" w:cs="Arial"/>
          <w:color w:val="000000"/>
          <w:kern w:val="0"/>
          <w14:ligatures w14:val="none"/>
        </w:rPr>
        <w:t>. Xenobiotic substance potential life-altering effects on fishes during the Anthropocene—while xenobiotics are released into our freshwater aquatic ecosystems at unpredictably high rates—should cause concern for freshwater fisheries management of socioeconomically important fishes.</w:t>
      </w:r>
    </w:p>
    <w:p w14:paraId="6E472FC0" w14:textId="77777777"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The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referred to hereafter as bass; </w:t>
      </w:r>
      <w:hyperlink r:id="rId28" w:history="1">
        <w:proofErr w:type="spellStart"/>
        <w:r w:rsidRPr="00292FF5">
          <w:rPr>
            <w:rFonts w:ascii="Arial" w:eastAsia="Times New Roman" w:hAnsi="Arial" w:cs="Arial"/>
            <w:color w:val="0000FF"/>
            <w:kern w:val="0"/>
            <w:u w:val="single"/>
            <w14:ligatures w14:val="none"/>
          </w:rPr>
          <w:t>Lacépède</w:t>
        </w:r>
        <w:proofErr w:type="spellEnd"/>
        <w:r w:rsidRPr="00292FF5">
          <w:rPr>
            <w:rFonts w:ascii="Arial" w:eastAsia="Times New Roman" w:hAnsi="Arial" w:cs="Arial"/>
            <w:color w:val="0000FF"/>
            <w:kern w:val="0"/>
            <w:u w:val="single"/>
            <w14:ligatures w14:val="none"/>
          </w:rPr>
          <w:t xml:space="preserve">, 1802; </w:t>
        </w:r>
        <w:proofErr w:type="spellStart"/>
        <w:r w:rsidRPr="00292FF5">
          <w:rPr>
            <w:rFonts w:ascii="Arial" w:eastAsia="Times New Roman" w:hAnsi="Arial" w:cs="Arial"/>
            <w:color w:val="0000FF"/>
            <w:kern w:val="0"/>
            <w:u w:val="single"/>
            <w14:ligatures w14:val="none"/>
          </w:rPr>
          <w:t>Lesueur</w:t>
        </w:r>
        <w:proofErr w:type="spellEnd"/>
        <w:r w:rsidRPr="00292FF5">
          <w:rPr>
            <w:rFonts w:ascii="Arial" w:eastAsia="Times New Roman" w:hAnsi="Arial" w:cs="Arial"/>
            <w:color w:val="0000FF"/>
            <w:kern w:val="0"/>
            <w:u w:val="single"/>
            <w14:ligatures w14:val="none"/>
          </w:rPr>
          <w:t>, 1822; Kim et al., 2022)</w:t>
        </w:r>
      </w:hyperlink>
      <w:r w:rsidRPr="00292FF5">
        <w:rPr>
          <w:rFonts w:ascii="Arial" w:eastAsia="Times New Roman" w:hAnsi="Arial" w:cs="Arial"/>
          <w:color w:val="000000"/>
          <w:kern w:val="0"/>
          <w14:ligatures w14:val="none"/>
        </w:rPr>
        <w:t xml:space="preserve"> is an ecologically, socioeconomically, culturally, and nutritionally valued freshwater fish worldwide. As the most sought-after and heavily managed fish in North America </w:t>
      </w:r>
      <w:hyperlink r:id="rId29" w:history="1">
        <w:r w:rsidRPr="00292FF5">
          <w:rPr>
            <w:rFonts w:ascii="Arial" w:eastAsia="Times New Roman" w:hAnsi="Arial" w:cs="Arial"/>
            <w:color w:val="0000FF"/>
            <w:kern w:val="0"/>
            <w:u w:val="single"/>
            <w14:ligatures w14:val="none"/>
          </w:rPr>
          <w:t xml:space="preserve">(Allen et al., 2008; </w:t>
        </w:r>
        <w:proofErr w:type="spellStart"/>
        <w:r w:rsidRPr="00292FF5">
          <w:rPr>
            <w:rFonts w:ascii="Arial" w:eastAsia="Times New Roman" w:hAnsi="Arial" w:cs="Arial"/>
            <w:color w:val="0000FF"/>
            <w:kern w:val="0"/>
            <w:u w:val="single"/>
            <w14:ligatures w14:val="none"/>
          </w:rPr>
          <w:t>Bonvechio</w:t>
        </w:r>
        <w:proofErr w:type="spellEnd"/>
        <w:r w:rsidRPr="00292FF5">
          <w:rPr>
            <w:rFonts w:ascii="Arial" w:eastAsia="Times New Roman" w:hAnsi="Arial" w:cs="Arial"/>
            <w:color w:val="0000FF"/>
            <w:kern w:val="0"/>
            <w:u w:val="single"/>
            <w14:ligatures w14:val="none"/>
          </w:rPr>
          <w:t xml:space="preserve"> et al., 2014; Carlson &amp; </w:t>
        </w:r>
        <w:proofErr w:type="spellStart"/>
        <w:r w:rsidRPr="00292FF5">
          <w:rPr>
            <w:rFonts w:ascii="Arial" w:eastAsia="Times New Roman" w:hAnsi="Arial" w:cs="Arial"/>
            <w:color w:val="0000FF"/>
            <w:kern w:val="0"/>
            <w:u w:val="single"/>
            <w14:ligatures w14:val="none"/>
          </w:rPr>
          <w:t>Isermann</w:t>
        </w:r>
        <w:proofErr w:type="spellEnd"/>
        <w:r w:rsidRPr="00292FF5">
          <w:rPr>
            <w:rFonts w:ascii="Arial" w:eastAsia="Times New Roman" w:hAnsi="Arial" w:cs="Arial"/>
            <w:color w:val="0000FF"/>
            <w:kern w:val="0"/>
            <w:u w:val="single"/>
            <w14:ligatures w14:val="none"/>
          </w:rPr>
          <w:t>, 2010; Claussen, 2015; Coleman et al., 2024)</w:t>
        </w:r>
      </w:hyperlink>
      <w:r w:rsidRPr="00292FF5">
        <w:rPr>
          <w:rFonts w:ascii="Arial" w:eastAsia="Times New Roman" w:hAnsi="Arial" w:cs="Arial"/>
          <w:color w:val="000000"/>
          <w:kern w:val="0"/>
          <w14:ligatures w14:val="none"/>
        </w:rPr>
        <w:t>, black basses (</w:t>
      </w:r>
      <w:r w:rsidRPr="00292FF5">
        <w:rPr>
          <w:rFonts w:ascii="Arial" w:eastAsia="Times New Roman" w:hAnsi="Arial" w:cs="Arial"/>
          <w:i/>
          <w:iCs/>
          <w:color w:val="000000"/>
          <w:kern w:val="0"/>
          <w14:ligatures w14:val="none"/>
        </w:rPr>
        <w:t xml:space="preserve">Micropterus </w:t>
      </w:r>
      <w:r w:rsidRPr="00292FF5">
        <w:rPr>
          <w:rFonts w:ascii="Arial" w:eastAsia="Times New Roman" w:hAnsi="Arial" w:cs="Arial"/>
          <w:color w:val="000000"/>
          <w:kern w:val="0"/>
          <w14:ligatures w14:val="none"/>
        </w:rPr>
        <w:t>spp.) are top-level piscivores that generate tens of billions United States dollars annually for the U.S. economy (USDOI 2018). The bass native range extends from southeastern Canada to northeastern Mexico (</w:t>
      </w:r>
      <w:proofErr w:type="spellStart"/>
      <w:r w:rsidRPr="00292FF5">
        <w:rPr>
          <w:rFonts w:ascii="Arial" w:eastAsia="Times New Roman" w:hAnsi="Arial" w:cs="Arial"/>
          <w:color w:val="000000"/>
          <w:kern w:val="0"/>
          <w14:ligatures w14:val="none"/>
        </w:rPr>
        <w:t>Tringali</w:t>
      </w:r>
      <w:proofErr w:type="spellEnd"/>
      <w:r w:rsidRPr="00292FF5">
        <w:rPr>
          <w:rFonts w:ascii="Arial" w:eastAsia="Times New Roman" w:hAnsi="Arial" w:cs="Arial"/>
          <w:color w:val="000000"/>
          <w:kern w:val="0"/>
          <w14:ligatures w14:val="none"/>
        </w:rPr>
        <w:t xml:space="preserve"> et al., 2015; Taylor et al., 2019). Despite the insane popularity and the introduction of bass to freshwater systems globally (</w:t>
      </w:r>
      <w:proofErr w:type="spellStart"/>
      <w:r w:rsidRPr="00292FF5">
        <w:rPr>
          <w:rFonts w:ascii="Arial" w:eastAsia="Times New Roman" w:hAnsi="Arial" w:cs="Arial"/>
          <w:color w:val="000000"/>
          <w:kern w:val="0"/>
          <w14:ligatures w14:val="none"/>
        </w:rPr>
        <w:t>Gratwicke</w:t>
      </w:r>
      <w:proofErr w:type="spellEnd"/>
      <w:r w:rsidRPr="00292FF5">
        <w:rPr>
          <w:rFonts w:ascii="Arial" w:eastAsia="Times New Roman" w:hAnsi="Arial" w:cs="Arial"/>
          <w:color w:val="000000"/>
          <w:kern w:val="0"/>
          <w14:ligatures w14:val="none"/>
        </w:rPr>
        <w:t xml:space="preserve"> and Marshall, 2001; Lowe et al., 2004; </w:t>
      </w:r>
      <w:proofErr w:type="spellStart"/>
      <w:r w:rsidRPr="00292FF5">
        <w:rPr>
          <w:rFonts w:ascii="Arial" w:eastAsia="Times New Roman" w:hAnsi="Arial" w:cs="Arial"/>
          <w:color w:val="000000"/>
          <w:kern w:val="0"/>
          <w14:ligatures w14:val="none"/>
        </w:rPr>
        <w:t>Takamura</w:t>
      </w:r>
      <w:proofErr w:type="spellEnd"/>
      <w:r w:rsidRPr="00292FF5">
        <w:rPr>
          <w:rFonts w:ascii="Arial" w:eastAsia="Times New Roman" w:hAnsi="Arial" w:cs="Arial"/>
          <w:color w:val="000000"/>
          <w:kern w:val="0"/>
          <w14:ligatures w14:val="none"/>
        </w:rPr>
        <w:t xml:space="preserve"> 2007; </w:t>
      </w:r>
      <w:proofErr w:type="spellStart"/>
      <w:r w:rsidRPr="00292FF5">
        <w:rPr>
          <w:rFonts w:ascii="Arial" w:eastAsia="Times New Roman" w:hAnsi="Arial" w:cs="Arial"/>
          <w:color w:val="000000"/>
          <w:kern w:val="0"/>
          <w14:ligatures w14:val="none"/>
        </w:rPr>
        <w:t>Boucek</w:t>
      </w:r>
      <w:proofErr w:type="spellEnd"/>
      <w:r w:rsidRPr="00292FF5">
        <w:rPr>
          <w:rFonts w:ascii="Arial" w:eastAsia="Times New Roman" w:hAnsi="Arial" w:cs="Arial"/>
          <w:color w:val="000000"/>
          <w:kern w:val="0"/>
          <w14:ligatures w14:val="none"/>
        </w:rPr>
        <w:t xml:space="preserve"> et al. 2017), bass are considered one of the world’s most problematic invaders due to their </w:t>
      </w:r>
      <w:r w:rsidRPr="00292FF5">
        <w:rPr>
          <w:rFonts w:ascii="Arial" w:eastAsia="Times New Roman" w:hAnsi="Arial" w:cs="Arial"/>
          <w:color w:val="000000"/>
          <w:kern w:val="0"/>
          <w14:ligatures w14:val="none"/>
        </w:rPr>
        <w:lastRenderedPageBreak/>
        <w:t>trophic position and capability of altering the diversity and abundance of aquatic biota (</w:t>
      </w:r>
      <w:proofErr w:type="spellStart"/>
      <w:r w:rsidRPr="00292FF5">
        <w:rPr>
          <w:rFonts w:ascii="Arial" w:eastAsia="Times New Roman" w:hAnsi="Arial" w:cs="Arial"/>
          <w:color w:val="000000"/>
          <w:kern w:val="0"/>
          <w14:ligatures w14:val="none"/>
        </w:rPr>
        <w:t>Cambray</w:t>
      </w:r>
      <w:proofErr w:type="spellEnd"/>
      <w:r w:rsidRPr="00292FF5">
        <w:rPr>
          <w:rFonts w:ascii="Arial" w:eastAsia="Times New Roman" w:hAnsi="Arial" w:cs="Arial"/>
          <w:color w:val="000000"/>
          <w:kern w:val="0"/>
          <w14:ligatures w14:val="none"/>
        </w:rPr>
        <w:t>, 2003; Weyl et al., 2010; Hargrove et al., 2019)</w:t>
      </w:r>
      <w:r w:rsidR="009B7318">
        <w:rPr>
          <w:rFonts w:ascii="Arial" w:eastAsia="Times New Roman" w:hAnsi="Arial" w:cs="Arial"/>
          <w:color w:val="000000"/>
          <w:kern w:val="0"/>
          <w14:ligatures w14:val="none"/>
        </w:rPr>
        <w:t>, amplifying the research importance of this species</w:t>
      </w:r>
      <w:r w:rsidRPr="00292FF5">
        <w:rPr>
          <w:rFonts w:ascii="Arial" w:eastAsia="Times New Roman" w:hAnsi="Arial" w:cs="Arial"/>
          <w:color w:val="000000"/>
          <w:kern w:val="0"/>
          <w14:ligatures w14:val="none"/>
        </w:rPr>
        <w:t xml:space="preserve">. </w:t>
      </w:r>
      <w:r w:rsidR="009B7318">
        <w:rPr>
          <w:rFonts w:ascii="Arial" w:eastAsia="Times New Roman" w:hAnsi="Arial" w:cs="Arial"/>
          <w:color w:val="000000"/>
          <w:kern w:val="0"/>
          <w14:ligatures w14:val="none"/>
        </w:rPr>
        <w:t>Lastly</w:t>
      </w:r>
      <w:r w:rsidRPr="00292FF5">
        <w:rPr>
          <w:rFonts w:ascii="Arial" w:eastAsia="Times New Roman" w:hAnsi="Arial" w:cs="Arial"/>
          <w:color w:val="000000"/>
          <w:kern w:val="0"/>
          <w14:ligatures w14:val="none"/>
        </w:rPr>
        <w:t>, bass successfully reproduce easily (i.e., have high fecundity and growth rates and low mortality; Davis and Lock, 1997; Coleman et al., 2024), allowing for sustainable use in research.</w:t>
      </w:r>
    </w:p>
    <w:p w14:paraId="3BFFC52C" w14:textId="77777777" w:rsidR="0045522C" w:rsidRDefault="00292FF5" w:rsidP="00292FF5">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Because the term stress is ambiguous </w:t>
      </w:r>
      <w:hyperlink r:id="rId30" w:history="1">
        <w:r w:rsidRPr="00292FF5">
          <w:rPr>
            <w:rFonts w:ascii="Arial" w:eastAsia="Times New Roman" w:hAnsi="Arial" w:cs="Arial"/>
            <w:color w:val="0000FF"/>
            <w:kern w:val="0"/>
            <w:u w:val="single"/>
            <w14:ligatures w14:val="none"/>
          </w:rPr>
          <w:t>(McEwen &amp; Wingfield, 2003)</w:t>
        </w:r>
      </w:hyperlink>
      <w:r w:rsidRPr="00292FF5">
        <w:rPr>
          <w:rFonts w:ascii="Arial" w:eastAsia="Times New Roman" w:hAnsi="Arial" w:cs="Arial"/>
          <w:color w:val="000000"/>
          <w:kern w:val="0"/>
          <w14:ligatures w14:val="none"/>
        </w:rPr>
        <w:t>, it is important to define stress and related concepts before moving forward. Here</w:t>
      </w:r>
      <w:r w:rsidR="009B7318">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we use the term </w:t>
      </w:r>
      <w:r w:rsidRPr="00292FF5">
        <w:rPr>
          <w:rFonts w:ascii="Arial" w:eastAsia="Times New Roman" w:hAnsi="Arial" w:cs="Arial"/>
          <w:i/>
          <w:iCs/>
          <w:color w:val="000000"/>
          <w:kern w:val="0"/>
          <w14:ligatures w14:val="none"/>
        </w:rPr>
        <w:t>stressor</w:t>
      </w:r>
      <w:r w:rsidRPr="00292FF5">
        <w:rPr>
          <w:rFonts w:ascii="Arial" w:eastAsia="Times New Roman" w:hAnsi="Arial" w:cs="Arial"/>
          <w:color w:val="000000"/>
          <w:kern w:val="0"/>
          <w14:ligatures w14:val="none"/>
        </w:rPr>
        <w:t xml:space="preserve">—which may be acute or chronic depending on the duration—to describe a noxious stimulus that can cause a change in the </w:t>
      </w:r>
      <w:r w:rsidRPr="00292FF5">
        <w:rPr>
          <w:rFonts w:ascii="Arial" w:eastAsia="Times New Roman" w:hAnsi="Arial" w:cs="Arial"/>
          <w:i/>
          <w:iCs/>
          <w:color w:val="000000"/>
          <w:kern w:val="0"/>
          <w14:ligatures w14:val="none"/>
        </w:rPr>
        <w:t>stress response</w:t>
      </w:r>
      <w:r w:rsidRPr="00292FF5">
        <w:rPr>
          <w:rFonts w:ascii="Arial" w:eastAsia="Times New Roman" w:hAnsi="Arial" w:cs="Arial"/>
          <w:color w:val="000000"/>
          <w:kern w:val="0"/>
          <w14:ligatures w14:val="none"/>
        </w:rPr>
        <w:t xml:space="preserve"> or the physiological coping mechanisms of an organism (Romero, 2004). The stress response can be further understood by introducing the terms homeostasis, allostasis, allostatic load, and allostatic overload. Homeostasis refers to the stability of physiological systems necessary to support life, whereas allostasis is the process of achieving homeostasis under changing conditions. Allostatic load relates to the cumulative cost on the body that results from a persistent allostatic state. Furthermore, allostatic overload describes when the allostatic load persists and is too great, overwhelming an organism's ability to habituate to a stressor and may have detrimental effects on its health and survival </w:t>
      </w:r>
      <w:hyperlink r:id="rId31" w:history="1">
        <w:r w:rsidRPr="00292FF5">
          <w:rPr>
            <w:rFonts w:ascii="Arial" w:eastAsia="Times New Roman" w:hAnsi="Arial" w:cs="Arial"/>
            <w:color w:val="0000FF"/>
            <w:kern w:val="0"/>
            <w:u w:val="single"/>
            <w14:ligatures w14:val="none"/>
          </w:rPr>
          <w:t>(McEwen &amp; Wingfield, 2003)</w:t>
        </w:r>
      </w:hyperlink>
      <w:r w:rsidRPr="00292FF5">
        <w:rPr>
          <w:rFonts w:ascii="Arial" w:eastAsia="Times New Roman" w:hAnsi="Arial" w:cs="Arial"/>
          <w:color w:val="000000"/>
          <w:kern w:val="0"/>
          <w14:ligatures w14:val="none"/>
        </w:rPr>
        <w:t>.</w:t>
      </w:r>
    </w:p>
    <w:p w14:paraId="5E3BFC87" w14:textId="77777777"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Here, we investigate the effect of two xenobiotic ecotoxicological substances, Cd and </w:t>
      </w:r>
      <w:proofErr w:type="spellStart"/>
      <w:r w:rsidRPr="00292FF5">
        <w:rPr>
          <w:rFonts w:ascii="Arial" w:eastAsia="Times New Roman" w:hAnsi="Arial" w:cs="Arial"/>
          <w:color w:val="000000"/>
          <w:kern w:val="0"/>
          <w14:ligatures w14:val="none"/>
        </w:rPr>
        <w:t>perfluoropentanoic</w:t>
      </w:r>
      <w:proofErr w:type="spellEnd"/>
      <w:r w:rsidRPr="00292FF5">
        <w:rPr>
          <w:rFonts w:ascii="Arial" w:eastAsia="Times New Roman" w:hAnsi="Arial" w:cs="Arial"/>
          <w:color w:val="000000"/>
          <w:kern w:val="0"/>
          <w14:ligatures w14:val="none"/>
        </w:rPr>
        <w:t xml:space="preserve">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PFAS chemical used in consumer products), on the stress response of bass. Freshwater fishes make ideal model taxa in ecotoxicology research due to the frequency of xenobiotic substances entering freshwater ecosystems and their inability to buffer themselves from such toxins. While previous studies have </w:t>
      </w:r>
      <w:r w:rsidRPr="00292FF5">
        <w:rPr>
          <w:rFonts w:ascii="Arial" w:eastAsia="Times New Roman" w:hAnsi="Arial" w:cs="Arial"/>
          <w:color w:val="000000"/>
          <w:kern w:val="0"/>
          <w14:ligatures w14:val="none"/>
        </w:rPr>
        <w:lastRenderedPageBreak/>
        <w:t>assessed the potential effects of xenobiotic substances on stress in fishes through the hypothalamic-pituitary-</w:t>
      </w:r>
      <w:proofErr w:type="spellStart"/>
      <w:r w:rsidRPr="00292FF5">
        <w:rPr>
          <w:rFonts w:ascii="Arial" w:eastAsia="Times New Roman" w:hAnsi="Arial" w:cs="Arial"/>
          <w:color w:val="000000"/>
          <w:kern w:val="0"/>
          <w14:ligatures w14:val="none"/>
        </w:rPr>
        <w:t>interrenal</w:t>
      </w:r>
      <w:proofErr w:type="spellEnd"/>
      <w:r w:rsidRPr="00292FF5">
        <w:rPr>
          <w:rFonts w:ascii="Arial" w:eastAsia="Times New Roman" w:hAnsi="Arial" w:cs="Arial"/>
          <w:color w:val="000000"/>
          <w:kern w:val="0"/>
          <w14:ligatures w14:val="none"/>
        </w:rPr>
        <w:t xml:space="preserve"> axis (specifically regarding the production and circulation of cortisol), leukocyte counts, and differential leukocyte counts (</w:t>
      </w:r>
      <w:proofErr w:type="spellStart"/>
      <w:r w:rsidRPr="00292FF5">
        <w:rPr>
          <w:rFonts w:ascii="Arial" w:eastAsia="Times New Roman" w:hAnsi="Arial" w:cs="Arial"/>
          <w:color w:val="000000"/>
          <w:kern w:val="0"/>
          <w14:ligatures w14:val="none"/>
        </w:rPr>
        <w:t>Hontela</w:t>
      </w:r>
      <w:proofErr w:type="spellEnd"/>
      <w:r w:rsidRPr="00292FF5">
        <w:rPr>
          <w:rFonts w:ascii="Arial" w:eastAsia="Times New Roman" w:hAnsi="Arial" w:cs="Arial"/>
          <w:color w:val="000000"/>
          <w:kern w:val="0"/>
          <w14:ligatures w14:val="none"/>
        </w:rPr>
        <w:t xml:space="preserve"> et al., 1992; Wilson et al., 1998, </w:t>
      </w:r>
      <w:proofErr w:type="spellStart"/>
      <w:r w:rsidRPr="00292FF5">
        <w:rPr>
          <w:rFonts w:ascii="Arial" w:eastAsia="Times New Roman" w:hAnsi="Arial" w:cs="Arial"/>
          <w:color w:val="000000"/>
          <w:kern w:val="0"/>
          <w14:ligatures w14:val="none"/>
        </w:rPr>
        <w:t>Seriani</w:t>
      </w:r>
      <w:proofErr w:type="spellEnd"/>
      <w:r w:rsidRPr="00292FF5">
        <w:rPr>
          <w:rFonts w:ascii="Arial" w:eastAsia="Times New Roman" w:hAnsi="Arial" w:cs="Arial"/>
          <w:color w:val="000000"/>
          <w:kern w:val="0"/>
          <w14:ligatures w14:val="none"/>
        </w:rPr>
        <w:t xml:space="preserve"> et al., 2015; </w:t>
      </w:r>
      <w:proofErr w:type="spellStart"/>
      <w:r w:rsidRPr="00292FF5">
        <w:rPr>
          <w:rFonts w:ascii="Arial" w:eastAsia="Times New Roman" w:hAnsi="Arial" w:cs="Arial"/>
          <w:color w:val="000000"/>
          <w:kern w:val="0"/>
          <w14:ligatures w14:val="none"/>
        </w:rPr>
        <w:t>Corrêa</w:t>
      </w:r>
      <w:proofErr w:type="spellEnd"/>
      <w:r w:rsidRPr="00292FF5">
        <w:rPr>
          <w:rFonts w:ascii="Arial" w:eastAsia="Times New Roman" w:hAnsi="Arial" w:cs="Arial"/>
          <w:color w:val="000000"/>
          <w:kern w:val="0"/>
          <w14:ligatures w14:val="none"/>
        </w:rPr>
        <w:t xml:space="preserve"> et al., 2017; </w:t>
      </w:r>
      <w:proofErr w:type="spellStart"/>
      <w:r w:rsidRPr="00292FF5">
        <w:rPr>
          <w:rFonts w:ascii="Arial" w:eastAsia="Times New Roman" w:hAnsi="Arial" w:cs="Arial"/>
          <w:color w:val="000000"/>
          <w:kern w:val="0"/>
          <w14:ligatures w14:val="none"/>
        </w:rPr>
        <w:t>Witeska</w:t>
      </w:r>
      <w:proofErr w:type="spellEnd"/>
      <w:r w:rsidRPr="00292FF5">
        <w:rPr>
          <w:rFonts w:ascii="Arial" w:eastAsia="Times New Roman" w:hAnsi="Arial" w:cs="Arial"/>
          <w:color w:val="000000"/>
          <w:kern w:val="0"/>
          <w14:ligatures w14:val="none"/>
        </w:rPr>
        <w:t xml:space="preserve"> et al., 2023), to our knowledge, no studies have investigated the effects 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on the neutrophil-to-lymphocyte ratio (NLR) in bass. Interest in NLR as a chronic stress proxy has been highlighted in the literature because, unlike cortisol, NLR does not attenuate when a stressor is present </w:t>
      </w:r>
      <w:hyperlink r:id="rId32"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Goessling</w:t>
        </w:r>
        <w:proofErr w:type="spellEnd"/>
        <w:r w:rsidRPr="00292FF5">
          <w:rPr>
            <w:rFonts w:ascii="Arial" w:eastAsia="Times New Roman" w:hAnsi="Arial" w:cs="Arial"/>
            <w:color w:val="0000FF"/>
            <w:kern w:val="0"/>
            <w:u w:val="single"/>
            <w14:ligatures w14:val="none"/>
          </w:rPr>
          <w:t xml:space="preserve"> et al., 2015)</w:t>
        </w:r>
      </w:hyperlink>
      <w:r w:rsidRPr="00292FF5">
        <w:rPr>
          <w:rFonts w:ascii="Arial" w:eastAsia="Times New Roman" w:hAnsi="Arial" w:cs="Arial"/>
          <w:color w:val="000000"/>
          <w:kern w:val="0"/>
          <w14:ligatures w14:val="none"/>
        </w:rPr>
        <w:t xml:space="preserve"> and because cortisol is more time-sensitive to collection </w:t>
      </w:r>
      <w:hyperlink r:id="rId33" w:history="1">
        <w:r w:rsidRPr="00292FF5">
          <w:rPr>
            <w:rFonts w:ascii="Arial" w:eastAsia="Times New Roman" w:hAnsi="Arial" w:cs="Arial"/>
            <w:color w:val="0000FF"/>
            <w:kern w:val="0"/>
            <w:u w:val="single"/>
            <w14:ligatures w14:val="none"/>
          </w:rPr>
          <w:t>(Davis et al., 2008)</w:t>
        </w:r>
      </w:hyperlink>
      <w:r w:rsidRPr="00292FF5">
        <w:rPr>
          <w:rFonts w:ascii="Arial" w:eastAsia="Times New Roman" w:hAnsi="Arial" w:cs="Arial"/>
          <w:color w:val="000000"/>
          <w:kern w:val="0"/>
          <w14:ligatures w14:val="none"/>
        </w:rPr>
        <w:t>. Understanding chronic stress in an organism is critical for conservation and management, as persistently stressful conditions could negatively influence all life stages and increase mortality (</w:t>
      </w:r>
      <w:proofErr w:type="spellStart"/>
      <w:r w:rsidRPr="00292FF5">
        <w:rPr>
          <w:rFonts w:ascii="Arial" w:eastAsia="Times New Roman" w:hAnsi="Arial" w:cs="Arial"/>
          <w:color w:val="000000"/>
          <w:kern w:val="0"/>
          <w14:ligatures w14:val="none"/>
        </w:rPr>
        <w:t>Tokarz</w:t>
      </w:r>
      <w:proofErr w:type="spellEnd"/>
      <w:r w:rsidRPr="00292FF5">
        <w:rPr>
          <w:rFonts w:ascii="Arial" w:eastAsia="Times New Roman" w:hAnsi="Arial" w:cs="Arial"/>
          <w:color w:val="000000"/>
          <w:kern w:val="0"/>
          <w14:ligatures w14:val="none"/>
        </w:rPr>
        <w:t xml:space="preserve"> and Summers, 2011).</w:t>
      </w:r>
    </w:p>
    <w:p w14:paraId="3E53B530" w14:textId="77777777" w:rsidR="0045522C" w:rsidRDefault="00292FF5" w:rsidP="0045522C">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In this study, we specifically tested the effect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on bass NLR. The objectives of our study were to (1) examine if varying rates 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exposure induce allostatic load, (2) investigate if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increase the allostatic load when interacting with an abruptly introduced environmental stressor, and (3) assess differences in allostatic load among groups after enduring an environmental stressor. We hypothesize that exposure to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will result in elevated NLR values, indicative of allostatic load, particularly in groups receiving higher doses of each toxin. Furthermore, we expect the allostatic load to be most pronounced following exposure to an abruptly introduced environmental stressor (Figure 1). Understanding how bass are affected by xenobiotic substances is critical to the conservation and management of freshwater ecosystems worldwide. Our findings contribute to the NLR </w:t>
      </w:r>
      <w:r w:rsidRPr="00292FF5">
        <w:rPr>
          <w:rFonts w:ascii="Arial" w:eastAsia="Times New Roman" w:hAnsi="Arial" w:cs="Arial"/>
          <w:color w:val="000000"/>
          <w:kern w:val="0"/>
          <w14:ligatures w14:val="none"/>
        </w:rPr>
        <w:lastRenderedPageBreak/>
        <w:t>literature and the dynamic environmental puzzle involving bass and their complex social–ecological relationships during the Anthropocene.</w:t>
      </w:r>
    </w:p>
    <w:p w14:paraId="2C5ACCBA" w14:textId="77777777" w:rsidR="0045522C" w:rsidRDefault="0045522C" w:rsidP="0045522C">
      <w:pPr>
        <w:spacing w:line="480" w:lineRule="auto"/>
        <w:ind w:firstLine="720"/>
        <w:rPr>
          <w:rFonts w:ascii="Arial" w:eastAsia="Times New Roman" w:hAnsi="Arial" w:cs="Arial"/>
          <w:color w:val="000000"/>
          <w:kern w:val="0"/>
          <w14:ligatures w14:val="none"/>
        </w:rPr>
      </w:pPr>
    </w:p>
    <w:p w14:paraId="326CD0B1" w14:textId="77777777" w:rsidR="0045522C"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bdr w:val="none" w:sz="0" w:space="0" w:color="auto" w:frame="1"/>
          <w14:ligatures w14:val="none"/>
        </w:rPr>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61EF67C3" wp14:editId="659C49CD">
            <wp:extent cx="5486403" cy="3208165"/>
            <wp:effectExtent l="0" t="0" r="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4392" cy="325376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14:paraId="138ED6F8" w14:textId="77777777" w:rsidR="00292FF5" w:rsidRPr="00292FF5"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color w:val="000000"/>
          <w:kern w:val="0"/>
          <w14:ligatures w14:val="none"/>
        </w:rPr>
        <w:t>Figure 1.</w:t>
      </w:r>
      <w:r w:rsidRPr="00292FF5">
        <w:rPr>
          <w:rFonts w:ascii="Arial" w:eastAsia="Times New Roman" w:hAnsi="Arial" w:cs="Arial"/>
          <w:b/>
          <w:bCs/>
          <w:color w:val="000000"/>
          <w:kern w:val="0"/>
          <w14:ligatures w14:val="none"/>
        </w:rPr>
        <w:t xml:space="preserve"> </w:t>
      </w:r>
      <w:r w:rsidRPr="00292FF5">
        <w:rPr>
          <w:rFonts w:ascii="Arial" w:eastAsia="Times New Roman" w:hAnsi="Arial" w:cs="Arial"/>
          <w:color w:val="000000"/>
          <w:kern w:val="0"/>
          <w14:ligatures w14:val="none"/>
        </w:rPr>
        <w:t xml:space="preserve">Hypothesized relationships among bass NLR, low and high levels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and an environmental stressor represented by salt addition. We anticipated that exposure to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indicated by the dashed "Treatment" line between blood samples 1 and 2, would result in elevated NLR values, particularly in groups receiving higher doses of each toxin. Additionally, we expected the allostatic load to be greatest following exposure to an abruptly introduced environmental stressor, represented by the dashed "Salt" line between blood samples 2 and 3.</w:t>
      </w:r>
    </w:p>
    <w:p w14:paraId="69D99234" w14:textId="77777777" w:rsidR="0045522C" w:rsidRDefault="0045522C" w:rsidP="00292FF5">
      <w:pPr>
        <w:spacing w:line="480" w:lineRule="auto"/>
        <w:rPr>
          <w:rFonts w:ascii="Arial" w:eastAsia="Times New Roman" w:hAnsi="Arial" w:cs="Arial"/>
          <w:kern w:val="0"/>
          <w14:ligatures w14:val="none"/>
        </w:rPr>
      </w:pPr>
    </w:p>
    <w:p w14:paraId="5ACAB1E0" w14:textId="77777777" w:rsidR="0045522C" w:rsidRPr="0045522C" w:rsidRDefault="0045522C" w:rsidP="0045522C">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2. </w:t>
      </w:r>
      <w:r w:rsidR="00292FF5" w:rsidRPr="00292FF5">
        <w:rPr>
          <w:rFonts w:ascii="Arial" w:eastAsia="Times New Roman" w:hAnsi="Arial" w:cs="Arial"/>
          <w:b/>
          <w:bCs/>
          <w:color w:val="000000"/>
          <w:kern w:val="0"/>
          <w14:ligatures w14:val="none"/>
        </w:rPr>
        <w:t>Materials and Methods</w:t>
      </w:r>
    </w:p>
    <w:p w14:paraId="2D16C82D" w14:textId="77777777" w:rsidR="0045522C" w:rsidRDefault="0045522C" w:rsidP="0045522C">
      <w:pPr>
        <w:spacing w:line="480" w:lineRule="auto"/>
        <w:rPr>
          <w:rFonts w:ascii="Arial" w:eastAsia="Times New Roman" w:hAnsi="Arial" w:cs="Arial"/>
          <w:kern w:val="0"/>
          <w14:ligatures w14:val="none"/>
        </w:rPr>
      </w:pPr>
      <w:r>
        <w:rPr>
          <w:rFonts w:ascii="Arial" w:eastAsia="Times New Roman" w:hAnsi="Arial" w:cs="Arial"/>
          <w:i/>
          <w:iCs/>
          <w:color w:val="000000"/>
          <w:kern w:val="0"/>
          <w14:ligatures w14:val="none"/>
        </w:rPr>
        <w:t xml:space="preserve">2.1 </w:t>
      </w:r>
      <w:r w:rsidR="00292FF5" w:rsidRPr="00292FF5">
        <w:rPr>
          <w:rFonts w:ascii="Arial" w:eastAsia="Times New Roman" w:hAnsi="Arial" w:cs="Arial"/>
          <w:i/>
          <w:iCs/>
          <w:color w:val="000000"/>
          <w:kern w:val="0"/>
          <w14:ligatures w14:val="none"/>
        </w:rPr>
        <w:t>Aquaculture Tank Design</w:t>
      </w:r>
    </w:p>
    <w:p w14:paraId="5E0A2C1B" w14:textId="77777777" w:rsidR="0045522C" w:rsidRDefault="00292FF5" w:rsidP="0045522C">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lastRenderedPageBreak/>
        <w:t xml:space="preserve">We assembled 15-37.9 liter (L) rectangular tanks on three shelves, five tanks per row (Figure 2). We positioned opaque barriers on the elongated sides of each tank and a fine mesh cover on top. We filled each tank with 34.6 L of tap water treated with </w:t>
      </w:r>
      <w:proofErr w:type="spellStart"/>
      <w:r w:rsidRPr="00292FF5">
        <w:rPr>
          <w:rFonts w:ascii="Arial" w:eastAsia="Times New Roman" w:hAnsi="Arial" w:cs="Arial"/>
          <w:color w:val="000000"/>
          <w:kern w:val="0"/>
          <w14:ligatures w14:val="none"/>
        </w:rPr>
        <w:t>Seachem</w:t>
      </w:r>
      <w:proofErr w:type="spellEnd"/>
      <w:r w:rsidRPr="00292FF5">
        <w:rPr>
          <w:rFonts w:ascii="Arial" w:eastAsia="Times New Roman" w:hAnsi="Arial" w:cs="Arial"/>
          <w:color w:val="000000"/>
          <w:kern w:val="0"/>
          <w14:ligatures w14:val="none"/>
        </w:rPr>
        <w:t xml:space="preserve"> Prime concentrated conditioner and placed 25</w:t>
      </w:r>
      <w:r w:rsidR="0045522C">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millimeter (mm) bubblers in each (multiport air pump; Aquatic Ecosystems Inc., Apopka, FL, USA). We kept the room at a constant low-indirect-light condition throughout the study. Lastly, we assigned each tank to one of five groups—control,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mg/L—with three replicates per group using a random number generator (Figure 2).</w:t>
      </w:r>
    </w:p>
    <w:p w14:paraId="474AE5C5" w14:textId="77777777" w:rsidR="0045522C" w:rsidRDefault="0045522C" w:rsidP="0045522C">
      <w:pPr>
        <w:spacing w:line="480" w:lineRule="auto"/>
        <w:ind w:firstLine="720"/>
        <w:rPr>
          <w:rFonts w:ascii="Arial" w:eastAsia="Times New Roman" w:hAnsi="Arial" w:cs="Arial"/>
          <w:color w:val="000000"/>
          <w:kern w:val="0"/>
          <w14:ligatures w14:val="none"/>
        </w:rPr>
      </w:pPr>
    </w:p>
    <w:p w14:paraId="1F5D87DE" w14:textId="77777777" w:rsidR="0045522C" w:rsidRDefault="00292FF5" w:rsidP="0045522C">
      <w:pPr>
        <w:spacing w:line="480" w:lineRule="auto"/>
        <w:ind w:firstLine="720"/>
        <w:rPr>
          <w:rFonts w:ascii="Arial" w:eastAsia="Times New Roman" w:hAnsi="Arial" w:cs="Arial"/>
          <w:color w:val="000000"/>
          <w:kern w:val="0"/>
          <w:bdr w:val="none" w:sz="0" w:space="0" w:color="auto" w:frame="1"/>
          <w14:ligatures w14:val="none"/>
        </w:rPr>
      </w:pPr>
      <w:r w:rsidRPr="00292FF5">
        <w:rPr>
          <w:rFonts w:ascii="Arial" w:eastAsia="Times New Roman" w:hAnsi="Arial" w:cs="Arial"/>
          <w:color w:val="000000"/>
          <w:kern w:val="0"/>
          <w:bdr w:val="none" w:sz="0" w:space="0" w:color="auto" w:frame="1"/>
          <w14:ligatures w14:val="none"/>
        </w:rPr>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38F84186" wp14:editId="26F690FE">
            <wp:extent cx="5484518" cy="4121736"/>
            <wp:effectExtent l="0" t="0" r="1905"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1400" cy="415696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14:paraId="62320632" w14:textId="77777777" w:rsidR="00292FF5" w:rsidRPr="00292FF5" w:rsidRDefault="00292FF5" w:rsidP="0045522C">
      <w:pPr>
        <w:spacing w:line="480" w:lineRule="auto"/>
        <w:rPr>
          <w:rFonts w:ascii="Arial" w:eastAsia="Times New Roman" w:hAnsi="Arial" w:cs="Arial"/>
          <w:color w:val="000000"/>
          <w:kern w:val="0"/>
          <w:bdr w:val="none" w:sz="0" w:space="0" w:color="auto" w:frame="1"/>
          <w14:ligatures w14:val="none"/>
        </w:rPr>
      </w:pPr>
      <w:r w:rsidRPr="00292FF5">
        <w:rPr>
          <w:rFonts w:ascii="Arial" w:eastAsia="Times New Roman" w:hAnsi="Arial" w:cs="Arial"/>
          <w:color w:val="000000"/>
          <w:kern w:val="0"/>
          <w14:ligatures w14:val="none"/>
        </w:rPr>
        <w:lastRenderedPageBreak/>
        <w:t>Figure 2.</w:t>
      </w:r>
      <w:r w:rsidRPr="00292FF5">
        <w:rPr>
          <w:rFonts w:ascii="Arial" w:eastAsia="Times New Roman" w:hAnsi="Arial" w:cs="Arial"/>
          <w:b/>
          <w:bCs/>
          <w:color w:val="000000"/>
          <w:kern w:val="0"/>
          <w14:ligatures w14:val="none"/>
        </w:rPr>
        <w:t xml:space="preserve"> </w:t>
      </w:r>
      <w:r w:rsidR="0045522C">
        <w:rPr>
          <w:rFonts w:ascii="Arial" w:eastAsia="Times New Roman" w:hAnsi="Arial" w:cs="Arial"/>
          <w:color w:val="000000"/>
          <w:kern w:val="0"/>
          <w14:ligatures w14:val="none"/>
        </w:rPr>
        <w:t>S</w:t>
      </w:r>
      <w:r w:rsidRPr="00292FF5">
        <w:rPr>
          <w:rFonts w:ascii="Arial" w:eastAsia="Times New Roman" w:hAnsi="Arial" w:cs="Arial"/>
          <w:color w:val="000000"/>
          <w:kern w:val="0"/>
          <w14:ligatures w14:val="none"/>
        </w:rPr>
        <w:t>tudy design and experimental timeline</w:t>
      </w:r>
      <w:r w:rsidR="0045522C">
        <w:rPr>
          <w:rFonts w:ascii="Arial" w:eastAsia="Times New Roman" w:hAnsi="Arial" w:cs="Arial"/>
          <w:color w:val="000000"/>
          <w:kern w:val="0"/>
          <w14:ligatures w14:val="none"/>
        </w:rPr>
        <w:t xml:space="preserve"> overview</w:t>
      </w:r>
      <w:r w:rsidRPr="00292FF5">
        <w:rPr>
          <w:rFonts w:ascii="Arial" w:eastAsia="Times New Roman" w:hAnsi="Arial" w:cs="Arial"/>
          <w:color w:val="000000"/>
          <w:kern w:val="0"/>
          <w14:ligatures w14:val="none"/>
        </w:rPr>
        <w:t>. We placed 15-37.9 L rectangular tanks in three rows, including opaque boundaries on the elongated sides (represented by thick solid black bars) and a mesh top (represented by dashed gray bars). Each tank included 37.6 L of conditioned tap water (light blue) with aerators (yellow bubbler). We randomized the treatment order among the tanks (five groups represented by each color). Below the tank design, in connecting boxes, we show the chronological order of relevant daily events from the start (day 1) to the end of the trial (day 22).</w:t>
      </w:r>
    </w:p>
    <w:p w14:paraId="34248EFF" w14:textId="77777777" w:rsidR="00292FF5" w:rsidRPr="00292FF5" w:rsidRDefault="00292FF5" w:rsidP="00292FF5">
      <w:pPr>
        <w:spacing w:line="480" w:lineRule="auto"/>
        <w:rPr>
          <w:rFonts w:ascii="Arial" w:eastAsia="Times New Roman" w:hAnsi="Arial" w:cs="Arial"/>
          <w:kern w:val="0"/>
          <w14:ligatures w14:val="none"/>
        </w:rPr>
      </w:pPr>
    </w:p>
    <w:p w14:paraId="798E9683" w14:textId="77777777" w:rsidR="0045522C" w:rsidRDefault="0045522C" w:rsidP="0045522C">
      <w:pPr>
        <w:spacing w:line="480" w:lineRule="auto"/>
        <w:rPr>
          <w:rFonts w:ascii="Arial" w:eastAsia="Times New Roman" w:hAnsi="Arial" w:cs="Arial"/>
          <w:kern w:val="0"/>
          <w14:ligatures w14:val="none"/>
        </w:rPr>
      </w:pPr>
      <w:r>
        <w:rPr>
          <w:rFonts w:ascii="Arial" w:eastAsia="Times New Roman" w:hAnsi="Arial" w:cs="Arial"/>
          <w:i/>
          <w:iCs/>
          <w:color w:val="000000"/>
          <w:kern w:val="0"/>
          <w14:ligatures w14:val="none"/>
        </w:rPr>
        <w:t xml:space="preserve">2.2 </w:t>
      </w:r>
      <w:r w:rsidR="00292FF5" w:rsidRPr="00292FF5">
        <w:rPr>
          <w:rFonts w:ascii="Arial" w:eastAsia="Times New Roman" w:hAnsi="Arial" w:cs="Arial"/>
          <w:i/>
          <w:iCs/>
          <w:color w:val="000000"/>
          <w:kern w:val="0"/>
          <w14:ligatures w14:val="none"/>
        </w:rPr>
        <w:t>Experimental Timeline</w:t>
      </w:r>
    </w:p>
    <w:p w14:paraId="6E312389" w14:textId="77777777"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Our study persisted for 22 days (Figure 2). On day 1, the Louisiana Department of Wildlife and Fisheries (LDWF) supplied bass collected using boat electrofishing from holding ponds at the Huey P. Long Fish Hatchery, Lacombe, Louisiana, USA. The LDWF immediately transferred the bass in their boat’s aerated livewell to Southeastern Louisiana University, Hammond, Louisiana, USA. On arrival, we recorded total length (TL) and weight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of 15 bass. We then placed each of these 15 bass into their own 37.9 L tank (aquaculture design described above; Figure 2). After we recorded TL and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and placed fish in individual tanks on day 1, we allowed a two-day acclimation period. On day 3, we collected the first blood sample from the caudal vein of each fish within 3 minutes of handling—minimizing any effect of newly induced anthropogenic stress—using a 1 mL syringe and </w:t>
      </w:r>
      <w:r w:rsidR="0045522C" w:rsidRPr="00292FF5">
        <w:rPr>
          <w:rFonts w:ascii="Arial" w:eastAsia="Times New Roman" w:hAnsi="Arial" w:cs="Arial"/>
          <w:color w:val="000000"/>
          <w:kern w:val="0"/>
          <w14:ligatures w14:val="none"/>
        </w:rPr>
        <w:t>25-gauge</w:t>
      </w:r>
      <w:r w:rsidRPr="00292FF5">
        <w:rPr>
          <w:rFonts w:ascii="Arial" w:eastAsia="Times New Roman" w:hAnsi="Arial" w:cs="Arial"/>
          <w:color w:val="000000"/>
          <w:kern w:val="0"/>
          <w14:ligatures w14:val="none"/>
        </w:rPr>
        <w:t xml:space="preserve"> needle and re-recorded TL and Wt. On day 8, we partially changed each tank’s water using a DEKO Tools water pump (model CSP9028) to maintain water conditions. To examine if differing levels of Cd or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lastRenderedPageBreak/>
        <w:t xml:space="preserve">alter baseline NLR (objective 1), we applied low and high Cd (0.034 ppm and 0.34 ppm, respectively)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(3.4 mg/L and 34 mg/L, respectively; Sigma Aldrich, Darmstadt, Germany) treatments directly to water on day 10, while the control tanks were left undisturbed. On day 14, after four days of treatment exposure, we collected TL,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xml:space="preserve">, and a second blood sample. Furthermore, to evaluate if treatment exposure would cause an altered stress response with a salinity increase (objective 2), we abruptly changed water salinity in all tanks from approximately 0 ppt to 5 ppt on day 15 (Figure 2; Figure 3). Three hours after salt introduction, we collected TL, </w:t>
      </w:r>
      <w:proofErr w:type="spellStart"/>
      <w:r w:rsidRPr="00292FF5">
        <w:rPr>
          <w:rFonts w:ascii="Arial" w:eastAsia="Times New Roman" w:hAnsi="Arial" w:cs="Arial"/>
          <w:color w:val="000000"/>
          <w:kern w:val="0"/>
          <w14:ligatures w14:val="none"/>
        </w:rPr>
        <w:t>Wt</w:t>
      </w:r>
      <w:proofErr w:type="spellEnd"/>
      <w:r w:rsidRPr="00292FF5">
        <w:rPr>
          <w:rFonts w:ascii="Arial" w:eastAsia="Times New Roman" w:hAnsi="Arial" w:cs="Arial"/>
          <w:color w:val="000000"/>
          <w:kern w:val="0"/>
          <w14:ligatures w14:val="none"/>
        </w:rPr>
        <w:t>, and a third blood sample. On day 22, 12 days post-treatment and 7 days post-salt, we collected a final blood sample and euthanized all bass using MS-222.</w:t>
      </w:r>
    </w:p>
    <w:p w14:paraId="6E2D3A06" w14:textId="77777777" w:rsidR="00292FF5" w:rsidRPr="00292FF5" w:rsidRDefault="00292FF5" w:rsidP="00292FF5">
      <w:pPr>
        <w:spacing w:line="480" w:lineRule="auto"/>
        <w:rPr>
          <w:rFonts w:ascii="Arial" w:eastAsia="Times New Roman" w:hAnsi="Arial" w:cs="Arial"/>
          <w:kern w:val="0"/>
          <w14:ligatures w14:val="none"/>
        </w:rPr>
      </w:pPr>
    </w:p>
    <w:p w14:paraId="5817F0BD" w14:textId="77777777" w:rsidR="0045522C" w:rsidRDefault="00292FF5" w:rsidP="0045522C">
      <w:pPr>
        <w:spacing w:line="480" w:lineRule="auto"/>
        <w:rPr>
          <w:rFonts w:ascii="Arial" w:eastAsia="Times New Roman" w:hAnsi="Arial" w:cs="Arial"/>
          <w:i/>
          <w:iCs/>
          <w:color w:val="000000"/>
          <w:kern w:val="0"/>
          <w14:ligatures w14:val="none"/>
        </w:rPr>
      </w:pPr>
      <w:r w:rsidRPr="00292FF5">
        <w:rPr>
          <w:rFonts w:ascii="Arial" w:eastAsia="Times New Roman" w:hAnsi="Arial" w:cs="Arial"/>
          <w:i/>
          <w:iCs/>
          <w:color w:val="000000"/>
          <w:kern w:val="0"/>
          <w14:ligatures w14:val="none"/>
        </w:rPr>
        <w:t>2.3. Neutrophil/Lymphocyte Ratio</w:t>
      </w:r>
    </w:p>
    <w:p w14:paraId="297B668B" w14:textId="77777777"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After we collected each blood sample, we immediately made blood smears using approximately 5-10 µl of whole blood on standard glass microscope slides (75 X 25 mm; 1 mm thick) with a two-slide wedge method </w:t>
      </w:r>
      <w:hyperlink r:id="rId36"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Houwen</w:t>
        </w:r>
        <w:proofErr w:type="spellEnd"/>
        <w:r w:rsidRPr="00292FF5">
          <w:rPr>
            <w:rFonts w:ascii="Arial" w:eastAsia="Times New Roman" w:hAnsi="Arial" w:cs="Arial"/>
            <w:color w:val="0000FF"/>
            <w:kern w:val="0"/>
            <w:u w:val="single"/>
            <w14:ligatures w14:val="none"/>
          </w:rPr>
          <w:t>, 2002; C. M. Murray et al., 2013)</w:t>
        </w:r>
      </w:hyperlink>
      <w:r w:rsidRPr="00292FF5">
        <w:rPr>
          <w:rFonts w:ascii="Arial" w:eastAsia="Times New Roman" w:hAnsi="Arial" w:cs="Arial"/>
          <w:color w:val="000000"/>
          <w:kern w:val="0"/>
          <w14:ligatures w14:val="none"/>
        </w:rPr>
        <w:t>. After the smears air-dried, we fixed and stained them with Giemsa-Wright (</w:t>
      </w:r>
      <w:proofErr w:type="spellStart"/>
      <w:r w:rsidRPr="00292FF5">
        <w:rPr>
          <w:rFonts w:ascii="Arial" w:eastAsia="Times New Roman" w:hAnsi="Arial" w:cs="Arial"/>
          <w:color w:val="000000"/>
          <w:kern w:val="0"/>
          <w14:ligatures w14:val="none"/>
        </w:rPr>
        <w:t>Fisherbrand</w:t>
      </w:r>
      <w:proofErr w:type="spellEnd"/>
      <w:r w:rsidRPr="00292FF5">
        <w:rPr>
          <w:rFonts w:ascii="Arial" w:eastAsia="Times New Roman" w:hAnsi="Arial" w:cs="Arial"/>
          <w:color w:val="000000"/>
          <w:kern w:val="0"/>
          <w14:ligatures w14:val="none"/>
        </w:rPr>
        <w:t>, Pittsburgh, PA, USA). Later, we examined the blood smears under light microscopy using 40X magnification to identify the first 100 leukocytes and calculated the NLR by dividing the observed lymphocytes by neutrophils. The same person identified leukocytes in all blood smears, and this person was unaware of the treatment groups. </w:t>
      </w:r>
    </w:p>
    <w:p w14:paraId="7E199AD7" w14:textId="77777777" w:rsidR="00292FF5" w:rsidRPr="00292FF5" w:rsidRDefault="00292FF5" w:rsidP="00292FF5">
      <w:pPr>
        <w:spacing w:line="480" w:lineRule="auto"/>
        <w:rPr>
          <w:rFonts w:ascii="Arial" w:eastAsia="Times New Roman" w:hAnsi="Arial" w:cs="Arial"/>
          <w:kern w:val="0"/>
          <w14:ligatures w14:val="none"/>
        </w:rPr>
      </w:pPr>
    </w:p>
    <w:p w14:paraId="37561AB9" w14:textId="77777777" w:rsidR="0045522C"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i/>
          <w:iCs/>
          <w:color w:val="000000"/>
          <w:kern w:val="0"/>
          <w14:ligatures w14:val="none"/>
        </w:rPr>
        <w:t>2.4. YSI Measurements</w:t>
      </w:r>
    </w:p>
    <w:p w14:paraId="7D4C0558" w14:textId="77777777" w:rsidR="0045522C" w:rsidRPr="0045522C"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lastRenderedPageBreak/>
        <w:t>We collected water q</w:t>
      </w:r>
      <w:r w:rsidR="0045522C">
        <w:rPr>
          <w:rFonts w:ascii="Arial" w:eastAsia="Times New Roman" w:hAnsi="Arial" w:cs="Arial"/>
          <w:color w:val="000000"/>
          <w:kern w:val="0"/>
          <w14:ligatures w14:val="none"/>
        </w:rPr>
        <w:t>u</w:t>
      </w:r>
      <w:r w:rsidRPr="00292FF5">
        <w:rPr>
          <w:rFonts w:ascii="Arial" w:eastAsia="Times New Roman" w:hAnsi="Arial" w:cs="Arial"/>
          <w:color w:val="000000"/>
          <w:kern w:val="0"/>
          <w14:ligatures w14:val="none"/>
        </w:rPr>
        <w:t>ality data—temperature (</w:t>
      </w:r>
      <w:r w:rsidRPr="00292FF5">
        <w:rPr>
          <w:rFonts w:ascii="Cambria Math" w:eastAsia="Times New Roman" w:hAnsi="Cambria Math" w:cs="Cambria Math"/>
          <w:color w:val="000000"/>
          <w:kern w:val="0"/>
          <w14:ligatures w14:val="none"/>
        </w:rPr>
        <w:t>℃</w:t>
      </w:r>
      <w:r w:rsidRPr="00292FF5">
        <w:rPr>
          <w:rFonts w:ascii="Arial" w:eastAsia="Times New Roman" w:hAnsi="Arial" w:cs="Arial"/>
          <w:color w:val="000000"/>
          <w:kern w:val="0"/>
          <w14:ligatures w14:val="none"/>
        </w:rPr>
        <w:t xml:space="preserve">), dissolved oxygen (mg/L), pH, and salinity (ppt)—using a YSI Pro DSS as per user guidelines (Yellow Springs Instruments, Xylem Inc., Washington, D.C., USA) to ensure consistency among tanks. We collected YSI data on days 2, 3, 10, 11, 14, and 15, all before we increased salinity, and on day 17 to verify the intentional salinity increase. We double-rinsed the YSI instrument in tap and reverse osmosis water between samples to eliminate contamination among tanks. We used the water quality data to </w:t>
      </w:r>
      <w:r w:rsidR="0045522C">
        <w:rPr>
          <w:rFonts w:ascii="Arial" w:eastAsia="Times New Roman" w:hAnsi="Arial" w:cs="Arial"/>
          <w:color w:val="000000"/>
          <w:kern w:val="0"/>
          <w14:ligatures w14:val="none"/>
        </w:rPr>
        <w:t xml:space="preserve">visually </w:t>
      </w:r>
      <w:r w:rsidRPr="00292FF5">
        <w:rPr>
          <w:rFonts w:ascii="Arial" w:eastAsia="Times New Roman" w:hAnsi="Arial" w:cs="Arial"/>
          <w:color w:val="000000"/>
          <w:kern w:val="0"/>
          <w14:ligatures w14:val="none"/>
        </w:rPr>
        <w:t>assess variation among tanks.</w:t>
      </w:r>
    </w:p>
    <w:p w14:paraId="6875EE83" w14:textId="77777777" w:rsidR="0045522C" w:rsidRDefault="0045522C" w:rsidP="0045522C">
      <w:pPr>
        <w:spacing w:line="480" w:lineRule="auto"/>
        <w:rPr>
          <w:rFonts w:ascii="Arial" w:eastAsia="Times New Roman" w:hAnsi="Arial" w:cs="Arial"/>
          <w:color w:val="000000"/>
          <w:kern w:val="0"/>
          <w14:ligatures w14:val="none"/>
        </w:rPr>
      </w:pPr>
    </w:p>
    <w:p w14:paraId="0F4C06DD" w14:textId="77777777" w:rsidR="00292FF5" w:rsidRPr="00292FF5" w:rsidRDefault="00292FF5" w:rsidP="0045522C">
      <w:pPr>
        <w:spacing w:line="480" w:lineRule="auto"/>
        <w:rPr>
          <w:rFonts w:ascii="Arial" w:eastAsia="Times New Roman" w:hAnsi="Arial" w:cs="Arial"/>
          <w:kern w:val="0"/>
          <w14:ligatures w14:val="none"/>
        </w:rPr>
      </w:pPr>
      <w:r w:rsidRPr="00292FF5">
        <w:rPr>
          <w:rFonts w:ascii="Arial" w:eastAsia="Times New Roman" w:hAnsi="Arial" w:cs="Arial"/>
          <w:color w:val="000000"/>
          <w:kern w:val="0"/>
          <w:bdr w:val="none" w:sz="0" w:space="0" w:color="auto" w:frame="1"/>
          <w14:ligatures w14:val="none"/>
        </w:rPr>
        <w:fldChar w:fldCharType="begin"/>
      </w:r>
      <w:r w:rsidRPr="00292FF5">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292FF5">
        <w:rPr>
          <w:rFonts w:ascii="Arial" w:eastAsia="Times New Roman" w:hAnsi="Arial" w:cs="Arial"/>
          <w:color w:val="000000"/>
          <w:kern w:val="0"/>
          <w:bdr w:val="none" w:sz="0" w:space="0" w:color="auto" w:frame="1"/>
          <w14:ligatures w14:val="none"/>
        </w:rPr>
        <w:fldChar w:fldCharType="separate"/>
      </w:r>
      <w:r w:rsidRPr="00292FF5">
        <w:rPr>
          <w:rFonts w:ascii="Arial" w:eastAsia="Times New Roman" w:hAnsi="Arial" w:cs="Arial"/>
          <w:noProof/>
          <w:color w:val="000000"/>
          <w:kern w:val="0"/>
          <w:bdr w:val="none" w:sz="0" w:space="0" w:color="auto" w:frame="1"/>
          <w14:ligatures w14:val="none"/>
        </w:rPr>
        <w:drawing>
          <wp:inline distT="0" distB="0" distL="0" distR="0" wp14:anchorId="5C25158C" wp14:editId="15B87B52">
            <wp:extent cx="5486595" cy="3656119"/>
            <wp:effectExtent l="0" t="0" r="0"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46771" cy="3696219"/>
                    </a:xfrm>
                    <a:prstGeom prst="rect">
                      <a:avLst/>
                    </a:prstGeom>
                    <a:noFill/>
                    <a:ln>
                      <a:noFill/>
                    </a:ln>
                  </pic:spPr>
                </pic:pic>
              </a:graphicData>
            </a:graphic>
          </wp:inline>
        </w:drawing>
      </w:r>
      <w:r w:rsidRPr="00292FF5">
        <w:rPr>
          <w:rFonts w:ascii="Arial" w:eastAsia="Times New Roman" w:hAnsi="Arial" w:cs="Arial"/>
          <w:color w:val="000000"/>
          <w:kern w:val="0"/>
          <w:bdr w:val="none" w:sz="0" w:space="0" w:color="auto" w:frame="1"/>
          <w14:ligatures w14:val="none"/>
        </w:rPr>
        <w:fldChar w:fldCharType="end"/>
      </w:r>
    </w:p>
    <w:p w14:paraId="72AFF5A5" w14:textId="77777777" w:rsidR="00292FF5" w:rsidRDefault="00292FF5" w:rsidP="0045522C">
      <w:pPr>
        <w:spacing w:line="480" w:lineRule="auto"/>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Figure 3. Individual tank water quality data (temperature, pH, dissolved oxygen, and salinity) we collected from a YSI Pro DSS on each sampling day (Figure 2). Color denotes the treatment group. The first vertical dashed line represents the day we added </w:t>
      </w:r>
      <w:r w:rsidRPr="00292FF5">
        <w:rPr>
          <w:rFonts w:ascii="Arial" w:eastAsia="Times New Roman" w:hAnsi="Arial" w:cs="Arial"/>
          <w:color w:val="000000"/>
          <w:kern w:val="0"/>
          <w14:ligatures w14:val="none"/>
        </w:rPr>
        <w:lastRenderedPageBreak/>
        <w:t>treatments, and the second indicates the day we added salt. Note that we recorded YSI data before salt addition on day 15.</w:t>
      </w:r>
    </w:p>
    <w:p w14:paraId="636F9EF8" w14:textId="77777777" w:rsidR="0045522C" w:rsidRPr="00292FF5" w:rsidRDefault="0045522C" w:rsidP="0045522C">
      <w:pPr>
        <w:spacing w:line="480" w:lineRule="auto"/>
        <w:rPr>
          <w:rFonts w:ascii="Arial" w:eastAsia="Times New Roman" w:hAnsi="Arial" w:cs="Arial"/>
          <w:kern w:val="0"/>
          <w14:ligatures w14:val="none"/>
        </w:rPr>
      </w:pPr>
    </w:p>
    <w:p w14:paraId="4C327CD0" w14:textId="77777777" w:rsidR="0045522C" w:rsidRDefault="00292FF5" w:rsidP="00292FF5">
      <w:pPr>
        <w:spacing w:line="480" w:lineRule="auto"/>
        <w:rPr>
          <w:rFonts w:ascii="Arial" w:eastAsia="Times New Roman" w:hAnsi="Arial" w:cs="Arial"/>
          <w:kern w:val="0"/>
          <w14:ligatures w14:val="none"/>
        </w:rPr>
      </w:pPr>
      <w:r w:rsidRPr="00292FF5">
        <w:rPr>
          <w:rFonts w:ascii="Arial" w:eastAsia="Times New Roman" w:hAnsi="Arial" w:cs="Arial"/>
          <w:i/>
          <w:iCs/>
          <w:color w:val="000000"/>
          <w:kern w:val="0"/>
          <w14:ligatures w14:val="none"/>
        </w:rPr>
        <w:t>2.5. Statistical Analyses</w:t>
      </w:r>
    </w:p>
    <w:p w14:paraId="47EB26E8" w14:textId="77777777" w:rsidR="00292FF5" w:rsidRPr="00292FF5" w:rsidRDefault="00292FF5" w:rsidP="0045522C">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 xml:space="preserve">We visualized and analyzed all data using R in </w:t>
      </w:r>
      <w:proofErr w:type="spellStart"/>
      <w:r w:rsidRPr="00292FF5">
        <w:rPr>
          <w:rFonts w:ascii="Arial" w:eastAsia="Times New Roman" w:hAnsi="Arial" w:cs="Arial"/>
          <w:color w:val="000000"/>
          <w:kern w:val="0"/>
          <w14:ligatures w14:val="none"/>
        </w:rPr>
        <w:t>Posit’s</w:t>
      </w:r>
      <w:proofErr w:type="spellEnd"/>
      <w:r w:rsidRPr="00292FF5">
        <w:rPr>
          <w:rFonts w:ascii="Arial" w:eastAsia="Times New Roman" w:hAnsi="Arial" w:cs="Arial"/>
          <w:color w:val="000000"/>
          <w:kern w:val="0"/>
          <w14:ligatures w14:val="none"/>
        </w:rPr>
        <w:t xml:space="preserve"> RStudio Integrated Development Environment </w:t>
      </w:r>
      <w:hyperlink r:id="rId38" w:history="1">
        <w:r w:rsidRPr="00292FF5">
          <w:rPr>
            <w:rFonts w:ascii="Arial" w:eastAsia="Times New Roman" w:hAnsi="Arial" w:cs="Arial"/>
            <w:color w:val="0000FF"/>
            <w:kern w:val="0"/>
            <w:u w:val="single"/>
            <w14:ligatures w14:val="none"/>
          </w:rPr>
          <w:t>(R Core Team, 2024)</w:t>
        </w:r>
      </w:hyperlink>
      <w:r w:rsidRPr="00292FF5">
        <w:rPr>
          <w:rFonts w:ascii="Arial" w:eastAsia="Times New Roman" w:hAnsi="Arial" w:cs="Arial"/>
          <w:color w:val="000000"/>
          <w:kern w:val="0"/>
          <w14:ligatures w14:val="none"/>
        </w:rPr>
        <w:t xml:space="preserve">. We used an alpha value of 0.05 for statistical testing. Between day 4 and day 7, one fish in the control, Cd high,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group died; on day 14, one fish in the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group died (four fish total). We included blood and water quality data from all four of these fish until day 7 but then removed the fish and their respective water quality data from the dataset. </w:t>
      </w:r>
    </w:p>
    <w:p w14:paraId="234068FA" w14:textId="77777777" w:rsidR="00292FF5" w:rsidRPr="00292FF5" w:rsidRDefault="00292FF5" w:rsidP="00292FF5">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First, we qualitatively assessed water quality variables throughout the study (days 2, 3, 10, 11, 14, 15, 17) to ensure temporal consistency among all tanks. We used the length and weight data to calculate each individual’s relative weight (</w:t>
      </w:r>
      <w:r w:rsidRPr="00292FF5">
        <w:rPr>
          <w:rFonts w:ascii="Arial" w:eastAsia="Times New Roman" w:hAnsi="Arial" w:cs="Arial"/>
          <w:i/>
          <w:iCs/>
          <w:color w:val="000000"/>
          <w:kern w:val="0"/>
          <w14:ligatures w14:val="none"/>
        </w:rPr>
        <w:t>Wᵣ</w:t>
      </w:r>
      <w:r w:rsidRPr="00292FF5">
        <w:rPr>
          <w:rFonts w:ascii="Arial" w:eastAsia="Times New Roman" w:hAnsi="Arial" w:cs="Arial"/>
          <w:color w:val="000000"/>
          <w:kern w:val="0"/>
          <w14:ligatures w14:val="none"/>
        </w:rPr>
        <w:t>), a commonly used condition metric of freshwater fishes (Neumann &amp; Allen, 2007; equation 1).</w:t>
      </w:r>
    </w:p>
    <w:p w14:paraId="7907F85D" w14:textId="77777777" w:rsidR="00292FF5" w:rsidRPr="00292FF5" w:rsidRDefault="00292FF5" w:rsidP="00292FF5">
      <w:pPr>
        <w:spacing w:line="480" w:lineRule="auto"/>
        <w:jc w:val="right"/>
        <w:rPr>
          <w:rFonts w:ascii="Arial" w:eastAsia="Times New Roman" w:hAnsi="Arial" w:cs="Arial"/>
          <w:kern w:val="0"/>
          <w14:ligatures w14:val="none"/>
        </w:rPr>
      </w:pPr>
      <w:r w:rsidRPr="00292FF5">
        <w:rPr>
          <w:rFonts w:ascii="Arial" w:eastAsia="Times New Roman" w:hAnsi="Arial" w:cs="Arial"/>
          <w:color w:val="000000"/>
          <w:kern w:val="0"/>
          <w14:ligatures w14:val="none"/>
        </w:rPr>
        <w:t>Wᵣ =</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w:t>
      </w:r>
      <w:r w:rsidRPr="00292FF5">
        <w:rPr>
          <w:rFonts w:ascii="Segoe UI Symbol" w:eastAsia="Times New Roman" w:hAnsi="Segoe UI Symbol" w:cs="Segoe UI Symbol"/>
          <w:color w:val="000000"/>
          <w:kern w:val="0"/>
          <w14:ligatures w14:val="none"/>
        </w:rPr>
        <w:t>ₛ</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t>
      </w:r>
      <w:r w:rsidR="0045522C">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100</w:t>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r>
      <w:r w:rsidRPr="00292FF5">
        <w:rPr>
          <w:rFonts w:ascii="Arial" w:eastAsia="Times New Roman" w:hAnsi="Arial" w:cs="Arial"/>
          <w:color w:val="000000"/>
          <w:kern w:val="0"/>
          <w14:ligatures w14:val="none"/>
        </w:rPr>
        <w:tab/>
        <w:t>equation 1</w:t>
      </w:r>
    </w:p>
    <w:p w14:paraId="41CFF4CE" w14:textId="77777777" w:rsidR="00883338" w:rsidRPr="00292FF5" w:rsidRDefault="00292FF5" w:rsidP="00292FF5">
      <w:pPr>
        <w:spacing w:line="480" w:lineRule="auto"/>
        <w:rPr>
          <w:rFonts w:ascii="Arial" w:hAnsi="Arial" w:cs="Arial"/>
        </w:rPr>
      </w:pPr>
      <w:r w:rsidRPr="00292FF5">
        <w:rPr>
          <w:rFonts w:ascii="Arial" w:eastAsia="Times New Roman" w:hAnsi="Arial" w:cs="Arial"/>
          <w:color w:val="000000"/>
          <w:kern w:val="0"/>
          <w14:ligatures w14:val="none"/>
        </w:rPr>
        <w:t>We used the regression equation for largemouth bass in Anderson and Neumann (1996) to calculate the standard weight (</w:t>
      </w:r>
      <w:r w:rsidRPr="00292FF5">
        <w:rPr>
          <w:rFonts w:ascii="Arial" w:eastAsia="Times New Roman" w:hAnsi="Arial" w:cs="Arial"/>
          <w:i/>
          <w:iCs/>
          <w:color w:val="000000"/>
          <w:kern w:val="0"/>
          <w14:ligatures w14:val="none"/>
        </w:rPr>
        <w:t>W</w:t>
      </w:r>
      <w:r w:rsidRPr="00292FF5">
        <w:rPr>
          <w:rFonts w:ascii="Segoe UI Symbol" w:eastAsia="Times New Roman" w:hAnsi="Segoe UI Symbol" w:cs="Segoe UI Symbol"/>
          <w:i/>
          <w:iCs/>
          <w:color w:val="000000"/>
          <w:kern w:val="0"/>
          <w14:ligatures w14:val="none"/>
        </w:rPr>
        <w:t>ₛ</w:t>
      </w:r>
      <w:r w:rsidRPr="00292FF5">
        <w:rPr>
          <w:rFonts w:ascii="Arial" w:eastAsia="Times New Roman" w:hAnsi="Arial" w:cs="Arial"/>
          <w:color w:val="000000"/>
          <w:kern w:val="0"/>
          <w14:ligatures w14:val="none"/>
        </w:rPr>
        <w:t xml:space="preserve">) needed in the relative weight equation (the other parameter, </w:t>
      </w:r>
      <w:r w:rsidRPr="00292FF5">
        <w:rPr>
          <w:rFonts w:ascii="Arial" w:eastAsia="Times New Roman" w:hAnsi="Arial" w:cs="Arial"/>
          <w:i/>
          <w:iCs/>
          <w:color w:val="000000"/>
          <w:kern w:val="0"/>
          <w14:ligatures w14:val="none"/>
        </w:rPr>
        <w:t>W</w:t>
      </w:r>
      <w:r w:rsidRPr="00292FF5">
        <w:rPr>
          <w:rFonts w:ascii="Arial" w:eastAsia="Times New Roman" w:hAnsi="Arial" w:cs="Arial"/>
          <w:color w:val="000000"/>
          <w:kern w:val="0"/>
          <w14:ligatures w14:val="none"/>
        </w:rPr>
        <w:t xml:space="preserve">, is fish weight; equation 1). Then, we used a generalized linear mixed-effects model (GLMM) to analyze (1) the effect of varying rates of Cd and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on NLR (the proxy for bass stress; objective 1), (2) the interaction among treatment effects and the introduced environmental stressor’s effect on NLR (objective 2), and (3) the difference in NLR among groups with a persistent environmental stressor (objective </w:t>
      </w:r>
      <w:r w:rsidRPr="00292FF5">
        <w:rPr>
          <w:rFonts w:ascii="Arial" w:eastAsia="Times New Roman" w:hAnsi="Arial" w:cs="Arial"/>
          <w:color w:val="000000"/>
          <w:kern w:val="0"/>
          <w14:ligatures w14:val="none"/>
        </w:rPr>
        <w:lastRenderedPageBreak/>
        <w:t xml:space="preserve">3). We determined the best-fitting distribution to the NLR data using the </w:t>
      </w:r>
      <w:proofErr w:type="spellStart"/>
      <w:r w:rsidRPr="00292FF5">
        <w:rPr>
          <w:rFonts w:ascii="Arial" w:eastAsia="Times New Roman" w:hAnsi="Arial" w:cs="Arial"/>
          <w:i/>
          <w:iCs/>
          <w:color w:val="000000"/>
          <w:kern w:val="0"/>
          <w14:ligatures w14:val="none"/>
        </w:rPr>
        <w:t>fitdistrplus</w:t>
      </w:r>
      <w:proofErr w:type="spellEnd"/>
      <w:r w:rsidRPr="00292FF5">
        <w:rPr>
          <w:rFonts w:ascii="Arial" w:eastAsia="Times New Roman" w:hAnsi="Arial" w:cs="Arial"/>
          <w:i/>
          <w:iCs/>
          <w:color w:val="000000"/>
          <w:kern w:val="0"/>
          <w14:ligatures w14:val="none"/>
        </w:rPr>
        <w:t xml:space="preserve"> </w:t>
      </w:r>
      <w:r w:rsidRPr="00292FF5">
        <w:rPr>
          <w:rFonts w:ascii="Arial" w:eastAsia="Times New Roman" w:hAnsi="Arial" w:cs="Arial"/>
          <w:color w:val="000000"/>
          <w:kern w:val="0"/>
          <w14:ligatures w14:val="none"/>
        </w:rPr>
        <w:t xml:space="preserve">package </w:t>
      </w:r>
      <w:hyperlink r:id="rId39" w:history="1">
        <w:r w:rsidRPr="00292FF5">
          <w:rPr>
            <w:rFonts w:ascii="Arial" w:eastAsia="Times New Roman" w:hAnsi="Arial" w:cs="Arial"/>
            <w:color w:val="0000FF"/>
            <w:kern w:val="0"/>
            <w:u w:val="single"/>
            <w14:ligatures w14:val="none"/>
          </w:rPr>
          <w:t>(</w:t>
        </w:r>
        <w:proofErr w:type="spellStart"/>
        <w:r w:rsidRPr="00292FF5">
          <w:rPr>
            <w:rFonts w:ascii="Arial" w:eastAsia="Times New Roman" w:hAnsi="Arial" w:cs="Arial"/>
            <w:color w:val="0000FF"/>
            <w:kern w:val="0"/>
            <w:u w:val="single"/>
            <w14:ligatures w14:val="none"/>
          </w:rPr>
          <w:t>Delignette</w:t>
        </w:r>
        <w:proofErr w:type="spellEnd"/>
        <w:r w:rsidRPr="00292FF5">
          <w:rPr>
            <w:rFonts w:ascii="Arial" w:eastAsia="Times New Roman" w:hAnsi="Arial" w:cs="Arial"/>
            <w:color w:val="0000FF"/>
            <w:kern w:val="0"/>
            <w:u w:val="single"/>
            <w14:ligatures w14:val="none"/>
          </w:rPr>
          <w:t xml:space="preserve">-Muller &amp; </w:t>
        </w:r>
        <w:proofErr w:type="spellStart"/>
        <w:r w:rsidRPr="00292FF5">
          <w:rPr>
            <w:rFonts w:ascii="Arial" w:eastAsia="Times New Roman" w:hAnsi="Arial" w:cs="Arial"/>
            <w:color w:val="0000FF"/>
            <w:kern w:val="0"/>
            <w:u w:val="single"/>
            <w14:ligatures w14:val="none"/>
          </w:rPr>
          <w:t>Dutang</w:t>
        </w:r>
        <w:proofErr w:type="spellEnd"/>
        <w:r w:rsidRPr="00292FF5">
          <w:rPr>
            <w:rFonts w:ascii="Arial" w:eastAsia="Times New Roman" w:hAnsi="Arial" w:cs="Arial"/>
            <w:color w:val="0000FF"/>
            <w:kern w:val="0"/>
            <w:u w:val="single"/>
            <w14:ligatures w14:val="none"/>
          </w:rPr>
          <w:t>, 2015)</w:t>
        </w:r>
      </w:hyperlink>
      <w:r w:rsidRPr="00292FF5">
        <w:rPr>
          <w:rFonts w:ascii="Arial" w:eastAsia="Times New Roman" w:hAnsi="Arial" w:cs="Arial"/>
          <w:color w:val="000000"/>
          <w:kern w:val="0"/>
          <w14:ligatures w14:val="none"/>
        </w:rPr>
        <w:t xml:space="preserve">. We included fixed effects of treatment group (control, Cd low 0.034 ppm, Cd high 0.34 ppm,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low 3.4 mg/L,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high 34 mg/L), blood sample (1-4), and their interaction, and a random effect of individual (i.e., tank) to account for any autocorrelation within individual in the GLMM. We assessed our objectives by examining specific beta coefficient estimates within the GLMM: (objective 1) each treatment line’s slope between blood 1 and blood 2, (objective 2) each treatment line’s slope between blood 2 and blood 3, and (objective 3) each treatment line’s slope between blood 3 and blood 4 and each treatment’s mean at blood 4.</w:t>
      </w:r>
    </w:p>
    <w:sectPr w:rsidR="00883338" w:rsidRPr="00292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1D61EF"/>
    <w:rsid w:val="00292FF5"/>
    <w:rsid w:val="00310A30"/>
    <w:rsid w:val="0045522C"/>
    <w:rsid w:val="00555CCE"/>
    <w:rsid w:val="0071739F"/>
    <w:rsid w:val="00796D02"/>
    <w:rsid w:val="008206F8"/>
    <w:rsid w:val="00883338"/>
    <w:rsid w:val="009B7318"/>
    <w:rsid w:val="00A8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9FDF4E"/>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AW1mol" TargetMode="External"/><Relationship Id="rId18" Type="http://schemas.openxmlformats.org/officeDocument/2006/relationships/hyperlink" Target="https://www.zotero.org/google-docs/?1Y5m9y" TargetMode="External"/><Relationship Id="rId26" Type="http://schemas.openxmlformats.org/officeDocument/2006/relationships/hyperlink" Target="https://www.zotero.org/google-docs/?xNGKWd" TargetMode="External"/><Relationship Id="rId39" Type="http://schemas.openxmlformats.org/officeDocument/2006/relationships/hyperlink" Target="https://www.zotero.org/google-docs/?HRm7bq" TargetMode="External"/><Relationship Id="rId21" Type="http://schemas.openxmlformats.org/officeDocument/2006/relationships/hyperlink" Target="https://www.zotero.org/google-docs/?CaQeZS" TargetMode="External"/><Relationship Id="rId34" Type="http://schemas.openxmlformats.org/officeDocument/2006/relationships/image" Target="media/image1.png"/><Relationship Id="rId7" Type="http://schemas.openxmlformats.org/officeDocument/2006/relationships/hyperlink" Target="https://www.zotero.org/google-docs/?n5qgkY" TargetMode="External"/><Relationship Id="rId2" Type="http://schemas.openxmlformats.org/officeDocument/2006/relationships/settings" Target="settings.xml"/><Relationship Id="rId16" Type="http://schemas.openxmlformats.org/officeDocument/2006/relationships/hyperlink" Target="https://www.zotero.org/google-docs/?FYBGN5" TargetMode="External"/><Relationship Id="rId20" Type="http://schemas.openxmlformats.org/officeDocument/2006/relationships/hyperlink" Target="https://www.zotero.org/google-docs/?KTH4C4" TargetMode="External"/><Relationship Id="rId29" Type="http://schemas.openxmlformats.org/officeDocument/2006/relationships/hyperlink" Target="https://www.zotero.org/google-docs/?1wa1jI"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zotero.org/google-docs/?16OWSO" TargetMode="External"/><Relationship Id="rId11" Type="http://schemas.openxmlformats.org/officeDocument/2006/relationships/hyperlink" Target="https://www.zotero.org/google-docs/?wgUwEa" TargetMode="External"/><Relationship Id="rId24" Type="http://schemas.openxmlformats.org/officeDocument/2006/relationships/hyperlink" Target="https://www.zotero.org/google-docs/?13xTVM" TargetMode="External"/><Relationship Id="rId32" Type="http://schemas.openxmlformats.org/officeDocument/2006/relationships/hyperlink" Target="https://www.zotero.org/google-docs/?kI1fBx" TargetMode="External"/><Relationship Id="rId37" Type="http://schemas.openxmlformats.org/officeDocument/2006/relationships/image" Target="media/image3.png"/><Relationship Id="rId40" Type="http://schemas.openxmlformats.org/officeDocument/2006/relationships/fontTable" Target="fontTable.xml"/><Relationship Id="rId5" Type="http://schemas.openxmlformats.org/officeDocument/2006/relationships/hyperlink" Target="https://www.zotero.org/google-docs/?cfvPRQ" TargetMode="External"/><Relationship Id="rId15" Type="http://schemas.openxmlformats.org/officeDocument/2006/relationships/hyperlink" Target="https://www.zotero.org/google-docs/?oGqDhu" TargetMode="External"/><Relationship Id="rId23" Type="http://schemas.openxmlformats.org/officeDocument/2006/relationships/hyperlink" Target="https://www.zotero.org/google-docs/?b9uqx2" TargetMode="External"/><Relationship Id="rId28" Type="http://schemas.openxmlformats.org/officeDocument/2006/relationships/hyperlink" Target="https://www.zotero.org/google-docs/?Nhw3g4" TargetMode="External"/><Relationship Id="rId36" Type="http://schemas.openxmlformats.org/officeDocument/2006/relationships/hyperlink" Target="https://www.zotero.org/google-docs/?PI4O33" TargetMode="External"/><Relationship Id="rId10" Type="http://schemas.openxmlformats.org/officeDocument/2006/relationships/hyperlink" Target="https://www.zotero.org/google-docs/?aSAXBE" TargetMode="External"/><Relationship Id="rId19" Type="http://schemas.openxmlformats.org/officeDocument/2006/relationships/hyperlink" Target="https://www.zotero.org/google-docs/?broken=uLxpjN" TargetMode="External"/><Relationship Id="rId31" Type="http://schemas.openxmlformats.org/officeDocument/2006/relationships/hyperlink" Target="https://www.zotero.org/google-docs/?SmaJxa" TargetMode="External"/><Relationship Id="rId4" Type="http://schemas.openxmlformats.org/officeDocument/2006/relationships/hyperlink" Target="https://www.zotero.org/google-docs/?0vebOh" TargetMode="External"/><Relationship Id="rId9" Type="http://schemas.openxmlformats.org/officeDocument/2006/relationships/hyperlink" Target="https://www.zotero.org/google-docs/?broken=A5RHkA" TargetMode="External"/><Relationship Id="rId14" Type="http://schemas.openxmlformats.org/officeDocument/2006/relationships/hyperlink" Target="https://www.zotero.org/google-docs/?iCqV4h" TargetMode="External"/><Relationship Id="rId22" Type="http://schemas.openxmlformats.org/officeDocument/2006/relationships/hyperlink" Target="https://www.zotero.org/google-docs/?zaYYp3" TargetMode="External"/><Relationship Id="rId27" Type="http://schemas.openxmlformats.org/officeDocument/2006/relationships/hyperlink" Target="https://www.zotero.org/google-docs/?g9Yjh3" TargetMode="External"/><Relationship Id="rId30" Type="http://schemas.openxmlformats.org/officeDocument/2006/relationships/hyperlink" Target="https://www.zotero.org/google-docs/?LXcYL4" TargetMode="External"/><Relationship Id="rId35" Type="http://schemas.openxmlformats.org/officeDocument/2006/relationships/image" Target="media/image2.png"/><Relationship Id="rId8" Type="http://schemas.openxmlformats.org/officeDocument/2006/relationships/hyperlink" Target="https://www.zotero.org/google-docs/?broken=Zl845f" TargetMode="External"/><Relationship Id="rId3" Type="http://schemas.openxmlformats.org/officeDocument/2006/relationships/webSettings" Target="webSettings.xml"/><Relationship Id="rId12" Type="http://schemas.openxmlformats.org/officeDocument/2006/relationships/hyperlink" Target="https://www.zotero.org/google-docs/?nKoLQZ" TargetMode="External"/><Relationship Id="rId17" Type="http://schemas.openxmlformats.org/officeDocument/2006/relationships/hyperlink" Target="https://www.zotero.org/google-docs/?JhSncl" TargetMode="External"/><Relationship Id="rId25" Type="http://schemas.openxmlformats.org/officeDocument/2006/relationships/hyperlink" Target="https://www.zotero.org/google-docs/?VuXWBT" TargetMode="External"/><Relationship Id="rId33" Type="http://schemas.openxmlformats.org/officeDocument/2006/relationships/hyperlink" Target="https://www.zotero.org/google-docs/?0Iq8yl" TargetMode="External"/><Relationship Id="rId38" Type="http://schemas.openxmlformats.org/officeDocument/2006/relationships/hyperlink" Target="https://www.zotero.org/google-docs/?Svw3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14</Pages>
  <Words>3423</Words>
  <Characters>19514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Tyler Steven Coleman</cp:lastModifiedBy>
  <cp:revision>2</cp:revision>
  <dcterms:created xsi:type="dcterms:W3CDTF">2024-11-25T13:03:00Z</dcterms:created>
  <dcterms:modified xsi:type="dcterms:W3CDTF">2025-01-18T23:20:00Z</dcterms:modified>
</cp:coreProperties>
</file>