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31DE" w14:textId="4B906E2D" w:rsidR="00F97DB0" w:rsidRDefault="00F97DB0" w:rsidP="00EC216F">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Herein, we provide a point-by-point response to each comment. Reviewer comments are reproduced in plain text, followed by our responses in blue text.</w:t>
      </w:r>
    </w:p>
    <w:p w14:paraId="0D89A4E0" w14:textId="77777777" w:rsidR="00F97DB0" w:rsidRDefault="00F97DB0" w:rsidP="00EC216F">
      <w:pPr>
        <w:spacing w:line="480" w:lineRule="auto"/>
        <w:rPr>
          <w:rFonts w:ascii="Arial" w:eastAsia="Times New Roman" w:hAnsi="Arial" w:cs="Arial"/>
          <w:color w:val="000000"/>
          <w:kern w:val="0"/>
          <w14:ligatures w14:val="none"/>
        </w:rPr>
      </w:pPr>
    </w:p>
    <w:p w14:paraId="10B66D79" w14:textId="3CA4305F" w:rsidR="00EC216F" w:rsidRPr="007240BA" w:rsidRDefault="00EC216F" w:rsidP="00EC216F">
      <w:pPr>
        <w:spacing w:line="480" w:lineRule="auto"/>
        <w:rPr>
          <w:rFonts w:ascii="Arial" w:eastAsia="Times New Roman" w:hAnsi="Arial" w:cs="Arial"/>
          <w:b/>
          <w:bCs/>
          <w:color w:val="000000"/>
          <w:kern w:val="0"/>
          <w14:ligatures w14:val="none"/>
        </w:rPr>
      </w:pPr>
      <w:r w:rsidRPr="007240BA">
        <w:rPr>
          <w:rFonts w:ascii="Arial" w:eastAsia="Times New Roman" w:hAnsi="Arial" w:cs="Arial"/>
          <w:b/>
          <w:bCs/>
          <w:color w:val="000000"/>
          <w:kern w:val="0"/>
          <w14:ligatures w14:val="none"/>
        </w:rPr>
        <w:t>Associate Editor</w:t>
      </w:r>
      <w:r w:rsidR="007240BA">
        <w:rPr>
          <w:rFonts w:ascii="Arial" w:eastAsia="Times New Roman" w:hAnsi="Arial" w:cs="Arial"/>
          <w:b/>
          <w:bCs/>
          <w:color w:val="000000"/>
          <w:kern w:val="0"/>
          <w14:ligatures w14:val="none"/>
        </w:rPr>
        <w:t>:</w:t>
      </w:r>
    </w:p>
    <w:p w14:paraId="6D9AE6FD"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Whilst this is a really interesting topic, the reviewers note several fundamental issues that limit the manuscript’s reliability and ecological relevance. The study is based on a very small sample size, only three fish per treatment, which undermines statistical power and is compounded by an unclear definition of the experimental unit and treatment of repeated measures.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concentration used is far higher than levels found in natural environments, making it difficult to draw meaningful ecological conclusions. Interpretation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as a stress</w:t>
      </w:r>
      <w:r w:rsidRPr="00EC216F">
        <w:rPr>
          <w:rFonts w:ascii="Arial" w:eastAsia="Times New Roman" w:hAnsi="Arial" w:cs="Arial"/>
          <w:color w:val="000000"/>
          <w:kern w:val="0"/>
          <w14:ligatures w14:val="none"/>
        </w:rPr>
        <w:noBreakHyphen/>
        <w:t>amplifying agent is also not well supported, as the study relies solely on NLR without additional physiological or endocrine indicators. Finally, the manuscript does not sufficiently engage with plausible mechanistic pathways or relevant literature to explain how PFAS might influence stress responses, limiting its contribution to conservation physiology.</w:t>
      </w:r>
    </w:p>
    <w:p w14:paraId="29FC4CB6" w14:textId="77777777" w:rsidR="00EC216F" w:rsidRDefault="00EC216F" w:rsidP="00EC216F">
      <w:pPr>
        <w:spacing w:line="480" w:lineRule="auto"/>
        <w:rPr>
          <w:rFonts w:ascii="Arial" w:eastAsia="Times New Roman" w:hAnsi="Arial" w:cs="Arial"/>
          <w:color w:val="000000"/>
          <w:kern w:val="0"/>
          <w14:ligatures w14:val="none"/>
        </w:rPr>
      </w:pPr>
    </w:p>
    <w:p w14:paraId="62ECCFBA"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We thank the Associate Editor for this clear and constructive summary of the primary concerns. We agree that the original manuscript did not adequately acknowledge the limitations imposed by small sample size, elevated </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exposure concentration, reliance on a single leukocyte-based endpoint, and limited mechanistic discussion. We have revised the manuscript substantially to address these concerns.</w:t>
      </w:r>
    </w:p>
    <w:p w14:paraId="31EA0E6E"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7B384F19"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lastRenderedPageBreak/>
        <w:t>First, we clarified that each tank housed a single fish; therefore, the individual fish and tank were synonymous experimental units. We also revised the statistical methods to clarify how repeated measurements from the same fish were handled using a mixed-effects repeated-measures framework.</w:t>
      </w:r>
    </w:p>
    <w:p w14:paraId="3A3F7AAD"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30521DC8"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Second, we revised the Introduction, Discussion, Abstract, and Lay Summary to reduce overstatement of ecological inference. In particular, we now describe the high-</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treatment as a proof-of-concept toxicological exposure rather than an environmentally representative concentration. We also more clearly distinguish between environmentally relevant implications and experimental evidence generated under controlled laboratory conditions.</w:t>
      </w:r>
    </w:p>
    <w:p w14:paraId="594D60D0"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0887FFA1" w14:textId="21063603"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Third, we revised all language that previously equated NLR directly with “stress.” We now describe NLR more cautiously as a leukocyte-based stress-associated biomarker or as evidence of altered leukocyte dynamics consistent with physiological stress responses. We also explicitly acknowledge</w:t>
      </w:r>
      <w:r w:rsidR="00CC0302">
        <w:rPr>
          <w:rFonts w:ascii="Arial" w:eastAsia="Times New Roman" w:hAnsi="Arial" w:cs="Arial"/>
          <w:b/>
          <w:bCs/>
          <w:color w:val="0070C0"/>
          <w:kern w:val="0"/>
          <w14:ligatures w14:val="none"/>
        </w:rPr>
        <w:t>, with citations,</w:t>
      </w:r>
      <w:r w:rsidRPr="007240BA">
        <w:rPr>
          <w:rFonts w:ascii="Arial" w:eastAsia="Times New Roman" w:hAnsi="Arial" w:cs="Arial"/>
          <w:b/>
          <w:bCs/>
          <w:color w:val="0070C0"/>
          <w:kern w:val="0"/>
          <w14:ligatures w14:val="none"/>
        </w:rPr>
        <w:t xml:space="preserve"> that additional endpoints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such as cortisol, oxidative stress markers, or broader immune assays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c</w:t>
      </w:r>
      <w:r w:rsidRPr="007240BA">
        <w:rPr>
          <w:rFonts w:ascii="Arial" w:eastAsia="Times New Roman" w:hAnsi="Arial" w:cs="Arial"/>
          <w:b/>
          <w:bCs/>
          <w:color w:val="0070C0"/>
          <w:kern w:val="0"/>
          <w14:ligatures w14:val="none"/>
        </w:rPr>
        <w:t xml:space="preserve">ould </w:t>
      </w:r>
      <w:r>
        <w:rPr>
          <w:rFonts w:ascii="Arial" w:eastAsia="Times New Roman" w:hAnsi="Arial" w:cs="Arial"/>
          <w:b/>
          <w:bCs/>
          <w:color w:val="0070C0"/>
          <w:kern w:val="0"/>
          <w14:ligatures w14:val="none"/>
        </w:rPr>
        <w:t>provide further evidence of</w:t>
      </w:r>
      <w:r w:rsidRPr="007240BA">
        <w:rPr>
          <w:rFonts w:ascii="Arial" w:eastAsia="Times New Roman" w:hAnsi="Arial" w:cs="Arial"/>
          <w:b/>
          <w:bCs/>
          <w:color w:val="0070C0"/>
          <w:kern w:val="0"/>
          <w14:ligatures w14:val="none"/>
        </w:rPr>
        <w:t xml:space="preserve"> mechanistic pathways.</w:t>
      </w:r>
    </w:p>
    <w:p w14:paraId="646684D3"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459F58E8" w14:textId="416890F6" w:rsidR="00F97DB0"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Finally, we expanded the Discussion to better connect the observed leukocyte patterns </w:t>
      </w:r>
      <w:r>
        <w:rPr>
          <w:rFonts w:ascii="Arial" w:eastAsia="Times New Roman" w:hAnsi="Arial" w:cs="Arial"/>
          <w:b/>
          <w:bCs/>
          <w:color w:val="0070C0"/>
          <w:kern w:val="0"/>
          <w14:ligatures w14:val="none"/>
        </w:rPr>
        <w:t>to</w:t>
      </w:r>
      <w:r w:rsidRPr="007240BA">
        <w:rPr>
          <w:rFonts w:ascii="Arial" w:eastAsia="Times New Roman" w:hAnsi="Arial" w:cs="Arial"/>
          <w:b/>
          <w:bCs/>
          <w:color w:val="0070C0"/>
          <w:kern w:val="0"/>
          <w14:ligatures w14:val="none"/>
        </w:rPr>
        <w:t xml:space="preserve"> plausible mechanisms, including glucocorticoid-associated leukocyte redistribution, immune modulation, oxidative stress, metabolic disruption, and endocrine or thyroid</w:t>
      </w:r>
      <w:r>
        <w:rPr>
          <w:rFonts w:ascii="Arial" w:eastAsia="Times New Roman" w:hAnsi="Arial" w:cs="Arial"/>
          <w:b/>
          <w:bCs/>
          <w:color w:val="0070C0"/>
          <w:kern w:val="0"/>
          <w14:ligatures w14:val="none"/>
        </w:rPr>
        <w:t xml:space="preserve"> </w:t>
      </w:r>
      <w:r w:rsidRPr="007240BA">
        <w:rPr>
          <w:rFonts w:ascii="Arial" w:eastAsia="Times New Roman" w:hAnsi="Arial" w:cs="Arial"/>
          <w:b/>
          <w:bCs/>
          <w:color w:val="0070C0"/>
          <w:kern w:val="0"/>
          <w14:ligatures w14:val="none"/>
        </w:rPr>
        <w:t xml:space="preserve">axis effects associated with PFAS exposure. We believe </w:t>
      </w:r>
      <w:r w:rsidRPr="007240BA">
        <w:rPr>
          <w:rFonts w:ascii="Arial" w:eastAsia="Times New Roman" w:hAnsi="Arial" w:cs="Arial"/>
          <w:b/>
          <w:bCs/>
          <w:color w:val="0070C0"/>
          <w:kern w:val="0"/>
          <w14:ligatures w14:val="none"/>
        </w:rPr>
        <w:lastRenderedPageBreak/>
        <w:t>these revisions improve the manuscript’s reliability, transparency, and relevance to conservation physiology while ensuring that the conclusions are appropriately cautious</w:t>
      </w:r>
      <w:r>
        <w:rPr>
          <w:rFonts w:ascii="Arial" w:eastAsia="Times New Roman" w:hAnsi="Arial" w:cs="Arial"/>
          <w:b/>
          <w:bCs/>
          <w:color w:val="0070C0"/>
          <w:kern w:val="0"/>
          <w14:ligatures w14:val="none"/>
        </w:rPr>
        <w:t>.</w:t>
      </w:r>
    </w:p>
    <w:p w14:paraId="0B93330A" w14:textId="77777777" w:rsidR="007240BA" w:rsidRDefault="007240BA" w:rsidP="007240BA">
      <w:pPr>
        <w:spacing w:line="480" w:lineRule="auto"/>
        <w:rPr>
          <w:rFonts w:ascii="Arial" w:eastAsia="Times New Roman" w:hAnsi="Arial" w:cs="Arial"/>
          <w:b/>
          <w:bCs/>
          <w:color w:val="0070C0"/>
          <w:kern w:val="0"/>
          <w14:ligatures w14:val="none"/>
        </w:rPr>
      </w:pPr>
    </w:p>
    <w:p w14:paraId="208FD3EA" w14:textId="63569C25" w:rsidR="007240BA" w:rsidRDefault="007240BA" w:rsidP="007240BA">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t>We will provide a line-by-line response to each of these changes in the reviewer comments below, reflecting the changes discussed above.</w:t>
      </w:r>
    </w:p>
    <w:p w14:paraId="395B4703" w14:textId="77777777" w:rsidR="007240BA" w:rsidRPr="007240BA" w:rsidRDefault="007240BA" w:rsidP="00EC216F">
      <w:pPr>
        <w:spacing w:line="480" w:lineRule="auto"/>
        <w:rPr>
          <w:rFonts w:ascii="Arial" w:eastAsia="Times New Roman" w:hAnsi="Arial" w:cs="Arial"/>
          <w:color w:val="000000"/>
          <w:kern w:val="0"/>
          <w14:ligatures w14:val="none"/>
        </w:rPr>
      </w:pPr>
    </w:p>
    <w:p w14:paraId="6505E171" w14:textId="3E540BF3" w:rsidR="00EC216F" w:rsidRP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1</w:t>
      </w:r>
    </w:p>
    <w:p w14:paraId="302DCE9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4BFB7052" w14:textId="33070A95"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timely and relevant question in conservation physiology, namely whether xenobiotic contaminants may confound commonly used physiological stress biomarkers. The experimental framework is appropriate and the study is generally well written. Clarifying several methodological and analytical aspects—particularly those related to leukocyte ratio calculation, exposure implementation and verification, statistical model structure, and reporting of sample sizes—would substantially improve transparency and reproducibility. Some of these clarifications may be efficiently addressed through supplementary material (e.g., raw leukocyte data, sample sizes per treatment and timepoint, or additional statistical details) without increasing manuscript length. Addressing these points should strengthen confidence in the results and enhance the manuscript’s contribution to the field.</w:t>
      </w:r>
    </w:p>
    <w:p w14:paraId="7192CF2D" w14:textId="77777777" w:rsidR="00EC216F" w:rsidRDefault="00EC216F" w:rsidP="00EC216F">
      <w:pPr>
        <w:spacing w:line="480" w:lineRule="auto"/>
        <w:rPr>
          <w:rFonts w:ascii="Arial" w:eastAsia="Times New Roman" w:hAnsi="Arial" w:cs="Arial"/>
          <w:color w:val="000000"/>
          <w:kern w:val="0"/>
          <w14:ligatures w14:val="none"/>
        </w:rPr>
      </w:pPr>
    </w:p>
    <w:p w14:paraId="06C1A8E0" w14:textId="27BF50FD"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Please see attached pdf for detailed comments</w:t>
      </w:r>
      <w:r>
        <w:rPr>
          <w:rFonts w:ascii="Arial" w:eastAsia="Times New Roman" w:hAnsi="Arial" w:cs="Arial"/>
          <w:color w:val="000000"/>
          <w:kern w:val="0"/>
          <w14:ligatures w14:val="none"/>
        </w:rPr>
        <w:t>:</w:t>
      </w:r>
    </w:p>
    <w:p w14:paraId="5EC1B63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Reviewer Report</w:t>
      </w:r>
    </w:p>
    <w:p w14:paraId="4878BA2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Journal: Conservation Physiology</w:t>
      </w:r>
    </w:p>
    <w:p w14:paraId="5A89E69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Xenobiotic Exposure May Confound Traditional Stress Biomarkers:</w:t>
      </w:r>
    </w:p>
    <w:p w14:paraId="775F53A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Evaluating PFAS and Cadmium Effects on Largemouth Bass Leukocyte Profiles</w:t>
      </w:r>
    </w:p>
    <w:p w14:paraId="1F199E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34ED72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relevant and timely question for conservation physiology,</w:t>
      </w:r>
    </w:p>
    <w:p w14:paraId="14598D3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particularly the potential for xenobiotic contaminants to confound commonly used</w:t>
      </w:r>
    </w:p>
    <w:p w14:paraId="4A8A7A8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physiological stress biomarkers. The experimental concept is sound, and the study is</w:t>
      </w:r>
    </w:p>
    <w:p w14:paraId="3D8B4BD5" w14:textId="77777777" w:rsidR="00EC216F" w:rsidRPr="00EC216F" w:rsidRDefault="00EC216F" w:rsidP="00EC216F">
      <w:pPr>
        <w:spacing w:line="480" w:lineRule="auto"/>
        <w:rPr>
          <w:rFonts w:ascii="Arial" w:eastAsia="Times New Roman" w:hAnsi="Arial" w:cs="Arial"/>
          <w:color w:val="000000"/>
          <w:kern w:val="0"/>
          <w14:ligatures w14:val="none"/>
        </w:rPr>
      </w:pPr>
      <w:proofErr w:type="gramStart"/>
      <w:r w:rsidRPr="00EC216F">
        <w:rPr>
          <w:rFonts w:ascii="Arial" w:eastAsia="Times New Roman" w:hAnsi="Arial" w:cs="Arial"/>
          <w:color w:val="000000"/>
          <w:kern w:val="0"/>
          <w14:ligatures w14:val="none"/>
        </w:rPr>
        <w:t>generally</w:t>
      </w:r>
      <w:proofErr w:type="gramEnd"/>
      <w:r w:rsidRPr="00EC216F">
        <w:rPr>
          <w:rFonts w:ascii="Arial" w:eastAsia="Times New Roman" w:hAnsi="Arial" w:cs="Arial"/>
          <w:color w:val="000000"/>
          <w:kern w:val="0"/>
          <w14:ligatures w14:val="none"/>
        </w:rPr>
        <w:t xml:space="preserve"> well written. However, several aspects of the Methods and analysis require</w:t>
      </w:r>
    </w:p>
    <w:p w14:paraId="23E90C7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clarification to allow full evaluation and reproducibility of the results. In particular,</w:t>
      </w:r>
    </w:p>
    <w:p w14:paraId="3E8FDB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clearer description of leukocyte ratio calculation, exposure preparation and persistence,</w:t>
      </w:r>
    </w:p>
    <w:p w14:paraId="2FEFB4D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verification of nominal concentrations, salinity verification at the acute</w:t>
      </w:r>
    </w:p>
    <w:p w14:paraId="19F8870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and statistical model structure would substantially strengthen the</w:t>
      </w:r>
    </w:p>
    <w:p w14:paraId="6E5FD30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None of these issues appear insurmountable, and addressing them should</w:t>
      </w:r>
    </w:p>
    <w:p w14:paraId="6D2EBC8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improve confidence in the conclusions and enhance the manuscript’s contribution to the</w:t>
      </w:r>
    </w:p>
    <w:p w14:paraId="350482B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field.</w:t>
      </w:r>
    </w:p>
    <w:p w14:paraId="09171B9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568B494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Neutrophil-to-lymphocyte ratio definition and calculation:</w:t>
      </w:r>
    </w:p>
    <w:p w14:paraId="3886EA3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L221: The calculation of the neutrophil-to-lymphocyte ratio is unclear and potentially</w:t>
      </w:r>
    </w:p>
    <w:p w14:paraId="2AD3BCA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inconsistent with standard usage. The Methods state: “We examined smears under a light</w:t>
      </w:r>
    </w:p>
    <w:p w14:paraId="17FA5FB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microscope (40X magnification), identified the first 100 leukocytes, and calculated the</w:t>
      </w:r>
    </w:p>
    <w:p w14:paraId="7B36B6A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NLR by dividing the observed lymphocyte count by the neutrophil count” (Methods,</w:t>
      </w:r>
    </w:p>
    <w:p w14:paraId="7D0A60A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Section 2.3, Neutrophil-to-Lymphocyte Ratio). As written, this describes a </w:t>
      </w:r>
      <w:proofErr w:type="spellStart"/>
      <w:r w:rsidRPr="00EC216F">
        <w:rPr>
          <w:rFonts w:ascii="Arial" w:eastAsia="Times New Roman" w:hAnsi="Arial" w:cs="Arial"/>
          <w:color w:val="000000"/>
          <w:kern w:val="0"/>
          <w14:ligatures w14:val="none"/>
        </w:rPr>
        <w:t>lymphocyteto</w:t>
      </w:r>
      <w:proofErr w:type="spellEnd"/>
      <w:r w:rsidRPr="00EC216F">
        <w:rPr>
          <w:rFonts w:ascii="Arial" w:eastAsia="Times New Roman" w:hAnsi="Arial" w:cs="Arial"/>
          <w:color w:val="000000"/>
          <w:kern w:val="0"/>
          <w14:ligatures w14:val="none"/>
        </w:rPr>
        <w:t>-</w:t>
      </w:r>
    </w:p>
    <w:p w14:paraId="122B298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neutrophil ratio rather than a neutrophil-to-lymphocyte ratio. Because NLR is the sole</w:t>
      </w:r>
    </w:p>
    <w:p w14:paraId="1CE617A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physiological response variable used in the study, this point must be explicitly clarified,</w:t>
      </w:r>
    </w:p>
    <w:p w14:paraId="4226778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as it directly affects interpretation of all results.</w:t>
      </w:r>
    </w:p>
    <w:p w14:paraId="58C4344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Experimental unit and replication structure:</w:t>
      </w:r>
    </w:p>
    <w:p w14:paraId="7A17925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L166: The experimental unit and replication structure are not clearly defined. The</w:t>
      </w:r>
    </w:p>
    <w:p w14:paraId="7556E78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state: “We assigned each tank to one of five groups… with three replicates per</w:t>
      </w:r>
    </w:p>
    <w:p w14:paraId="21FE107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group” (Methods, Section 2.1), which suggests tanks are the experimental units.</w:t>
      </w:r>
    </w:p>
    <w:p w14:paraId="2ACABC5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the statistical analysis refers to “a random effect for individual (i.e., tank)”</w:t>
      </w:r>
    </w:p>
    <w:p w14:paraId="3EA8FD6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Section 2.5). The authors should clarify whether each tank housed a single fish</w:t>
      </w:r>
    </w:p>
    <w:p w14:paraId="740EF69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and how repeated measures were handled to avoid ambiguity regarding independence.</w:t>
      </w:r>
    </w:p>
    <w:p w14:paraId="7D160CD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Water changes, exposure duration, and contaminant persistence:</w:t>
      </w:r>
    </w:p>
    <w:p w14:paraId="51F6763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L195: The Methods state: “On day 8, we completed partial water changes in all tanks…</w:t>
      </w:r>
    </w:p>
    <w:p w14:paraId="77229A3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to maintain water quality” (Methods, Section 2.2), but no additional water changes are</w:t>
      </w:r>
    </w:p>
    <w:p w14:paraId="0582EF3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described after contaminant addition on day 10. As written, this suggests continuous</w:t>
      </w:r>
    </w:p>
    <w:p w14:paraId="0B201CE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exposure from day 10 to day 22. The authors should clarify whether water changes</w:t>
      </w:r>
    </w:p>
    <w:p w14:paraId="6A00759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occurred after day 10, whether contaminants were renewed, and discuss expected </w:t>
      </w:r>
      <w:proofErr w:type="spellStart"/>
      <w:r w:rsidRPr="00EC216F">
        <w:rPr>
          <w:rFonts w:ascii="Arial" w:eastAsia="Times New Roman" w:hAnsi="Arial" w:cs="Arial"/>
          <w:color w:val="000000"/>
          <w:kern w:val="0"/>
          <w14:ligatures w14:val="none"/>
        </w:rPr>
        <w:t>halflives</w:t>
      </w:r>
      <w:proofErr w:type="spellEnd"/>
    </w:p>
    <w:p w14:paraId="2EAB44B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of Cd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w:t>
      </w:r>
    </w:p>
    <w:p w14:paraId="7B78292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and compound preparation:</w:t>
      </w:r>
    </w:p>
    <w:p w14:paraId="4BCF7CA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 The Methods state: “We applied low and high concentrations of Cd… and</w:t>
      </w:r>
    </w:p>
    <w:p w14:paraId="71ED26FE" w14:textId="77777777" w:rsidR="00EC216F" w:rsidRPr="00EC216F" w:rsidRDefault="00EC216F" w:rsidP="00EC216F">
      <w:pPr>
        <w:spacing w:line="480" w:lineRule="auto"/>
        <w:rPr>
          <w:rFonts w:ascii="Arial" w:eastAsia="Times New Roman" w:hAnsi="Arial" w:cs="Arial"/>
          <w:color w:val="000000"/>
          <w:kern w:val="0"/>
          <w14:ligatures w14:val="none"/>
        </w:rPr>
      </w:pP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directly to the water” (Methods, Section 2.1), but do not indicate whether a</w:t>
      </w:r>
    </w:p>
    <w:p w14:paraId="31FDDDC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solvent was required for compound solubility. The authors should explicitly state whether</w:t>
      </w:r>
    </w:p>
    <w:p w14:paraId="7332E12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 solvent was used and whether a solvent control was included.</w:t>
      </w:r>
    </w:p>
    <w:p w14:paraId="01F493A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Verification of nominal contaminant concentrations:</w:t>
      </w:r>
    </w:p>
    <w:p w14:paraId="1ED1122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L198-202: The manuscript does not describe how nominal concentrations were verified.</w:t>
      </w:r>
    </w:p>
    <w:p w14:paraId="55B273F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Beyond stating that compounds were added “directly to the water” (Methods, Section</w:t>
      </w:r>
    </w:p>
    <w:p w14:paraId="3A1840C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2.1), there is no indication whether concentrations were analytically confirmed. This</w:t>
      </w:r>
    </w:p>
    <w:p w14:paraId="4F7A991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limitation should be clarified, particularly when interpreting null effects.</w:t>
      </w:r>
    </w:p>
    <w:p w14:paraId="2D4EFB8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Salinity stressor verification:</w:t>
      </w:r>
    </w:p>
    <w:p w14:paraId="4A14B93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L206: The Methods state: “Three hours after salt introduction, we collected a third blood</w:t>
      </w:r>
    </w:p>
    <w:p w14:paraId="18127C4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(Methods, Section 2.2), but salinity measurements are only reported later: “We</w:t>
      </w:r>
    </w:p>
    <w:p w14:paraId="1835741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collected measurements… again on day 17” (Methods, Section 2.4). Salinity at the acute</w:t>
      </w:r>
    </w:p>
    <w:p w14:paraId="55B3BC8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should be reported or acknowledged as a limitation.</w:t>
      </w:r>
    </w:p>
    <w:p w14:paraId="6B551C0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Statistical analysis clarity:</w:t>
      </w:r>
    </w:p>
    <w:p w14:paraId="3B220CB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248: The </w:t>
      </w:r>
      <w:proofErr w:type="gramStart"/>
      <w:r w:rsidRPr="00EC216F">
        <w:rPr>
          <w:rFonts w:ascii="Arial" w:eastAsia="Times New Roman" w:hAnsi="Arial" w:cs="Arial"/>
          <w:color w:val="000000"/>
          <w:kern w:val="0"/>
          <w14:ligatures w14:val="none"/>
        </w:rPr>
        <w:t>authors</w:t>
      </w:r>
      <w:proofErr w:type="gramEnd"/>
      <w:r w:rsidRPr="00EC216F">
        <w:rPr>
          <w:rFonts w:ascii="Arial" w:eastAsia="Times New Roman" w:hAnsi="Arial" w:cs="Arial"/>
          <w:color w:val="000000"/>
          <w:kern w:val="0"/>
          <w14:ligatures w14:val="none"/>
        </w:rPr>
        <w:t xml:space="preserve"> state: “We used a generalized linear mixed-effects model (GLMM)”</w:t>
      </w:r>
    </w:p>
    <w:p w14:paraId="244EBB33"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Section 2.5), but do not specify the distribution, link function, or software.</w:t>
      </w:r>
    </w:p>
    <w:p w14:paraId="7B704A8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Additionally, the sentence “We assessed model convergence by ensuring the residuals</w:t>
      </w:r>
    </w:p>
    <w:p w14:paraId="1DE7DCF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were normally distributed” (Methods, Section 2.5) conflates residual diagnostics with</w:t>
      </w:r>
    </w:p>
    <w:p w14:paraId="63147A9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convergence and should be revised.</w:t>
      </w:r>
    </w:p>
    <w:p w14:paraId="23B0000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MINOR COMMENTS</w:t>
      </w:r>
    </w:p>
    <w:p w14:paraId="31FDA1C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Interpretation of stress responses:</w:t>
      </w:r>
    </w:p>
    <w:p w14:paraId="6A3305B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L409: The Discussion states: “Our results could indicate that fish already experiencing</w:t>
      </w:r>
    </w:p>
    <w:p w14:paraId="426FE5F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elevated stress may not mount an expected response to an additional stressor”</w:t>
      </w:r>
    </w:p>
    <w:p w14:paraId="59D651C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(Discussion, Section 4.4). This interpretation should be framed more cautiously, as</w:t>
      </w:r>
    </w:p>
    <w:p w14:paraId="0E0C34B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alternative explanations such as ceiling effects are possible.</w:t>
      </w:r>
    </w:p>
    <w:p w14:paraId="054ECF6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Equating leukocyte ratios with stress:</w:t>
      </w:r>
    </w:p>
    <w:p w14:paraId="3B789A5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 367: The manuscript occasionally equates leukocyte ratios directly with stress, for</w:t>
      </w:r>
    </w:p>
    <w:p w14:paraId="1CC593E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example: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elevated stress in freshwater fishes” (Discussion, Section</w:t>
      </w:r>
    </w:p>
    <w:p w14:paraId="62C7193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4.3). More precise language would improve clarity.</w:t>
      </w:r>
    </w:p>
    <w:p w14:paraId="0B205F0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 reporting:</w:t>
      </w:r>
    </w:p>
    <w:p w14:paraId="73EB556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239: Mortality is described as “one fish from the control, Cd high,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high</w:t>
      </w:r>
    </w:p>
    <w:p w14:paraId="26384EE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groups died… one fish from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low group also died” (Methods, Section 2.5), but</w:t>
      </w:r>
    </w:p>
    <w:p w14:paraId="5937986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sizes per treatment and timepoint are not explicitly reported. A table summarizing</w:t>
      </w:r>
    </w:p>
    <w:p w14:paraId="44DEB93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sizes would improve transparency.</w:t>
      </w:r>
    </w:p>
    <w:p w14:paraId="2F74D20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Reporting percent changes:</w:t>
      </w:r>
    </w:p>
    <w:p w14:paraId="2FAAC00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L292: Percent changes are reported without raw values, for example: “NLR in the </w:t>
      </w:r>
      <w:proofErr w:type="spellStart"/>
      <w:r w:rsidRPr="00EC216F">
        <w:rPr>
          <w:rFonts w:ascii="Arial" w:eastAsia="Times New Roman" w:hAnsi="Arial" w:cs="Arial"/>
          <w:color w:val="000000"/>
          <w:kern w:val="0"/>
          <w14:ligatures w14:val="none"/>
        </w:rPr>
        <w:t>PFPeA</w:t>
      </w:r>
      <w:proofErr w:type="spellEnd"/>
    </w:p>
    <w:p w14:paraId="4495595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high group increased by 212%” (Results, Section 3.3.1). Including raw or summary</w:t>
      </w:r>
    </w:p>
    <w:p w14:paraId="3091D43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values would improve interpretability.</w:t>
      </w:r>
    </w:p>
    <w:p w14:paraId="6587523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Abstract wording:</w:t>
      </w:r>
    </w:p>
    <w:p w14:paraId="1369FB13"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Abstract states: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is a short-chain PFAS chemical commonly used in</w:t>
      </w:r>
    </w:p>
    <w:p w14:paraId="63D1BB6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consumer products,” but it is unclear whether this refers specifically to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or PFAS</w:t>
      </w:r>
    </w:p>
    <w:p w14:paraId="000E49E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compounds more broadly.</w:t>
      </w:r>
    </w:p>
    <w:p w14:paraId="3F36490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Feeding regime description:</w:t>
      </w:r>
    </w:p>
    <w:p w14:paraId="209CAC8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L351-352: The Discussion notes: “We restricted food intake during the study”</w:t>
      </w:r>
    </w:p>
    <w:p w14:paraId="35925D8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(Discussion, Section 4.2), but feeding frequency and duration are not described in the</w:t>
      </w:r>
    </w:p>
    <w:p w14:paraId="09222E8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w:t>
      </w:r>
    </w:p>
    <w:p w14:paraId="1C671A9E" w14:textId="77777777" w:rsidR="00EC216F" w:rsidRDefault="00EC216F" w:rsidP="00EC216F">
      <w:pPr>
        <w:spacing w:line="480" w:lineRule="auto"/>
        <w:rPr>
          <w:rFonts w:ascii="Arial" w:eastAsia="Times New Roman" w:hAnsi="Arial" w:cs="Arial"/>
          <w:color w:val="000000"/>
          <w:kern w:val="0"/>
          <w14:ligatures w14:val="none"/>
        </w:rPr>
      </w:pPr>
    </w:p>
    <w:p w14:paraId="2CA0FB42" w14:textId="321CF1AE" w:rsid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2</w:t>
      </w:r>
    </w:p>
    <w:p w14:paraId="36E3785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0629CAB0"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This manuscript investigates whether exposure to Cd and the short-chain PFAS compound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alters the NLR stress biomarker in largemouth bass and whether contaminant exposure modifies the response to a secondary environmental stressor (salinity increase). The topic is relevant for this journal because conservation physiology increasingly relies on physiological indicators, and the possibility that contaminants bias those indicators is important for both ecological monitoring and fisheries management.</w:t>
      </w:r>
    </w:p>
    <w:p w14:paraId="6805F618" w14:textId="77777777" w:rsidR="00EC216F" w:rsidRDefault="00EC216F" w:rsidP="00EC216F">
      <w:pPr>
        <w:spacing w:line="480" w:lineRule="auto"/>
        <w:rPr>
          <w:rFonts w:ascii="Arial" w:eastAsia="Times New Roman" w:hAnsi="Arial" w:cs="Arial"/>
          <w:color w:val="000000"/>
          <w:kern w:val="0"/>
          <w14:ligatures w14:val="none"/>
        </w:rPr>
      </w:pPr>
    </w:p>
    <w:p w14:paraId="56A10F5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experimental design (combining xenobiotic exposure and an environmental challenge) is conceptually strong and addresses a real limitation in applied ecological physiology. The data show that high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produced sustained elevation of NLR and impaired recovery after salinity stress, whereas Cd did not significantly affect NLR under the tested conditions</w:t>
      </w:r>
    </w:p>
    <w:p w14:paraId="3FFC9717" w14:textId="77777777" w:rsidR="00EC216F" w:rsidRDefault="00EC216F" w:rsidP="00EC216F">
      <w:pPr>
        <w:spacing w:line="480" w:lineRule="auto"/>
        <w:rPr>
          <w:rFonts w:ascii="Arial" w:eastAsia="Times New Roman" w:hAnsi="Arial" w:cs="Arial"/>
          <w:color w:val="000000"/>
          <w:kern w:val="0"/>
          <w14:ligatures w14:val="none"/>
        </w:rPr>
      </w:pPr>
    </w:p>
    <w:p w14:paraId="3C24034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while the study is interesting, the manuscript currently has weakness in terms of methodological, statistical, and interpretational. In particular, sample size, exposure relevance, biomarker interpretation, and mechanistic discussion require substantial revision.</w:t>
      </w:r>
    </w:p>
    <w:p w14:paraId="563D4412" w14:textId="77777777" w:rsidR="00EC216F" w:rsidRDefault="00EC216F" w:rsidP="00EC216F">
      <w:pPr>
        <w:spacing w:line="480" w:lineRule="auto"/>
        <w:rPr>
          <w:rFonts w:ascii="Arial" w:eastAsia="Times New Roman" w:hAnsi="Arial" w:cs="Arial"/>
          <w:color w:val="000000"/>
          <w:kern w:val="0"/>
          <w14:ligatures w14:val="none"/>
        </w:rPr>
      </w:pPr>
    </w:p>
    <w:p w14:paraId="667895D9"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 my comments below</w:t>
      </w:r>
    </w:p>
    <w:p w14:paraId="37B7353A" w14:textId="77777777" w:rsidR="00EC216F" w:rsidRDefault="00EC216F" w:rsidP="00EC216F">
      <w:pPr>
        <w:spacing w:line="480" w:lineRule="auto"/>
        <w:rPr>
          <w:rFonts w:ascii="Arial" w:eastAsia="Times New Roman" w:hAnsi="Arial" w:cs="Arial"/>
          <w:color w:val="000000"/>
          <w:kern w:val="0"/>
          <w14:ligatures w14:val="none"/>
        </w:rPr>
      </w:pPr>
    </w:p>
    <w:p w14:paraId="3A49E8F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31C145EE"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study is limited by an extremely small sample size. Only 15 fish were used across five treatments (i.e. three fish per treatment), which is inadequate for mixed-effects modeling and substantially weakens both statistical power and biological inference. Consequently, the GLMM analyses are highly susceptible to pseudo-replication and may lead to overinterpretation of the results.</w:t>
      </w:r>
    </w:p>
    <w:p w14:paraId="2DB289BB" w14:textId="77777777" w:rsidR="00EC216F" w:rsidRDefault="00EC216F" w:rsidP="00EC216F">
      <w:pPr>
        <w:spacing w:line="480" w:lineRule="auto"/>
        <w:rPr>
          <w:rFonts w:ascii="Arial" w:eastAsia="Times New Roman" w:hAnsi="Arial" w:cs="Arial"/>
          <w:color w:val="000000"/>
          <w:kern w:val="0"/>
          <w14:ligatures w14:val="none"/>
        </w:rPr>
      </w:pPr>
    </w:p>
    <w:p w14:paraId="61E8B81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concentration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used in this study (34 mg/L) greatly exceeds levels typically reported in natural aquatic environments. Consequently, although the findings are discussed in terms of ecological implications, the exposure conditions more accurately represent a toxicological worst-case scenario rather than environmentally realistic contamination.</w:t>
      </w:r>
    </w:p>
    <w:p w14:paraId="0232C410" w14:textId="77777777" w:rsidR="00EC216F" w:rsidRDefault="00EC216F" w:rsidP="00EC216F">
      <w:pPr>
        <w:spacing w:line="480" w:lineRule="auto"/>
        <w:rPr>
          <w:rFonts w:ascii="Arial" w:eastAsia="Times New Roman" w:hAnsi="Arial" w:cs="Arial"/>
          <w:color w:val="000000"/>
          <w:kern w:val="0"/>
          <w14:ligatures w14:val="none"/>
        </w:rPr>
      </w:pPr>
    </w:p>
    <w:p w14:paraId="6BE1C7F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NLR was employed as the sole physiological indicator of stress in this study. However, in the absence of corroborating endpoints (such as plasma cortisol, glucose, lactate, or additional immune parameters) the assertion that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“amplifies stress” is not adequately supported.</w:t>
      </w:r>
    </w:p>
    <w:p w14:paraId="1FEDEF04" w14:textId="77777777" w:rsidR="00EC216F" w:rsidRDefault="00EC216F" w:rsidP="00EC216F">
      <w:pPr>
        <w:spacing w:line="480" w:lineRule="auto"/>
        <w:rPr>
          <w:rFonts w:ascii="Arial" w:eastAsia="Times New Roman" w:hAnsi="Arial" w:cs="Arial"/>
          <w:color w:val="000000"/>
          <w:kern w:val="0"/>
          <w14:ligatures w14:val="none"/>
        </w:rPr>
      </w:pPr>
    </w:p>
    <w:p w14:paraId="11AC442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Discussion proposes that PFAS exposure alters physiological stress responses; however, the underlying mechanisms are not sufficiently explained. The manuscript </w:t>
      </w:r>
      <w:r w:rsidRPr="00EC216F">
        <w:rPr>
          <w:rFonts w:ascii="Arial" w:eastAsia="Times New Roman" w:hAnsi="Arial" w:cs="Arial"/>
          <w:color w:val="000000"/>
          <w:kern w:val="0"/>
          <w14:ligatures w14:val="none"/>
        </w:rPr>
        <w:lastRenderedPageBreak/>
        <w:t>would be strengthened by outlining plausible pathways—such as endocrine disruption (e.g., HPI/HPA axis effects), immune modulation, oxidative stress, or metabolic disturbances, and relating these to existing literature. Addressing these mechanisms would improve the conservation physiology relevance and provide a clearer biological interpretation of the observed responses.</w:t>
      </w:r>
    </w:p>
    <w:p w14:paraId="14430C39" w14:textId="77777777" w:rsidR="00EC216F" w:rsidRDefault="00EC216F" w:rsidP="00EC216F">
      <w:pPr>
        <w:spacing w:line="480" w:lineRule="auto"/>
        <w:rPr>
          <w:rFonts w:ascii="Arial" w:eastAsia="Times New Roman" w:hAnsi="Arial" w:cs="Arial"/>
          <w:color w:val="000000"/>
          <w:kern w:val="0"/>
          <w14:ligatures w14:val="none"/>
        </w:rPr>
      </w:pPr>
    </w:p>
    <w:p w14:paraId="7AD129D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statistical design requires further clarification and refinement. It is not clear whether the experimental unit was the tank or the individual fish, and this distinction is important for correct analysis. In addition, repeated measurements taken from the same fish may violate the assumption of independence if they are treated as separate observations. The authors are encouraged to explicitly define the experimental unit and to apply an appropriate statistical approach (e.g., mixed-effects or repeated-measures models) that accounts for tank and/or individual random effects to ensure the validity of the inferences.</w:t>
      </w:r>
    </w:p>
    <w:p w14:paraId="72A25DDA" w14:textId="77777777" w:rsidR="00EC216F" w:rsidRDefault="00EC216F" w:rsidP="00EC216F">
      <w:pPr>
        <w:spacing w:line="480" w:lineRule="auto"/>
        <w:rPr>
          <w:rFonts w:ascii="Arial" w:eastAsia="Times New Roman" w:hAnsi="Arial" w:cs="Arial"/>
          <w:color w:val="000000"/>
          <w:kern w:val="0"/>
          <w14:ligatures w14:val="none"/>
        </w:rPr>
      </w:pPr>
    </w:p>
    <w:p w14:paraId="02F6E4C6"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Specific comments</w:t>
      </w:r>
    </w:p>
    <w:p w14:paraId="67A2782F" w14:textId="77777777" w:rsidR="00EC216F" w:rsidRDefault="00EC216F" w:rsidP="00EC216F">
      <w:pPr>
        <w:spacing w:line="480" w:lineRule="auto"/>
        <w:rPr>
          <w:rFonts w:ascii="Arial" w:eastAsia="Times New Roman" w:hAnsi="Arial" w:cs="Arial"/>
          <w:color w:val="000000"/>
          <w:kern w:val="0"/>
          <w14:ligatures w14:val="none"/>
        </w:rPr>
      </w:pPr>
    </w:p>
    <w:p w14:paraId="3F189951"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scope appears overly broad and somewhat unfocused, which affects the clarity of the central message. In addition, the background on PFAS toxicology is insufficiently reviewed, limiting the contextual foundation of the study. Finally, the physiological basis of the NLR response is not adequately explained, particularly regarding mechanisms such as immune cell redistribution and potential glucocorticoid mediation.</w:t>
      </w:r>
    </w:p>
    <w:p w14:paraId="14E98B84" w14:textId="77777777" w:rsidR="00EC216F" w:rsidRDefault="00EC216F" w:rsidP="00EC216F">
      <w:pPr>
        <w:spacing w:line="480" w:lineRule="auto"/>
        <w:rPr>
          <w:rFonts w:ascii="Arial" w:eastAsia="Times New Roman" w:hAnsi="Arial" w:cs="Arial"/>
          <w:color w:val="000000"/>
          <w:kern w:val="0"/>
          <w14:ligatures w14:val="none"/>
        </w:rPr>
      </w:pPr>
    </w:p>
    <w:p w14:paraId="1E64A32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novelty also needs to be clarified, as numerous prior studies have already demonstrated that contaminants can alter leukocyte profiles</w:t>
      </w:r>
    </w:p>
    <w:p w14:paraId="61DE211A" w14:textId="77777777" w:rsidR="00EC216F" w:rsidRDefault="00EC216F" w:rsidP="00EC216F">
      <w:pPr>
        <w:spacing w:line="480" w:lineRule="auto"/>
        <w:rPr>
          <w:rFonts w:ascii="Arial" w:eastAsia="Times New Roman" w:hAnsi="Arial" w:cs="Arial"/>
          <w:color w:val="000000"/>
          <w:kern w:val="0"/>
          <w14:ligatures w14:val="none"/>
        </w:rPr>
      </w:pPr>
    </w:p>
    <w:p w14:paraId="4B92497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-Methodology: The blood sampling methodology raises concern because no anesthesia was used during collection. Handling and restraint alone can induce an acute stress response in fish, which may alter leukocyte profiles and artificially elevate leukocyte ratios, potentially confounding the interpretation of the results.</w:t>
      </w:r>
    </w:p>
    <w:p w14:paraId="1EF2022A" w14:textId="77777777" w:rsidR="00EC216F" w:rsidRDefault="00EC216F" w:rsidP="00EC216F">
      <w:pPr>
        <w:spacing w:line="480" w:lineRule="auto"/>
        <w:rPr>
          <w:rFonts w:ascii="Arial" w:eastAsia="Times New Roman" w:hAnsi="Arial" w:cs="Arial"/>
          <w:color w:val="000000"/>
          <w:kern w:val="0"/>
          <w14:ligatures w14:val="none"/>
        </w:rPr>
      </w:pPr>
    </w:p>
    <w:p w14:paraId="158F675F" w14:textId="3A1050A1" w:rsidR="00EB0471"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-References: Several references support general stress but not PFAS mechanisms.</w:t>
      </w:r>
    </w:p>
    <w:sectPr w:rsidR="00EB0471" w:rsidRPr="00EC216F"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97A30" w14:textId="77777777" w:rsidR="00E77CB7" w:rsidRDefault="00E77CB7" w:rsidP="00EB0471">
      <w:r>
        <w:separator/>
      </w:r>
    </w:p>
  </w:endnote>
  <w:endnote w:type="continuationSeparator" w:id="0">
    <w:p w14:paraId="3E881104" w14:textId="77777777" w:rsidR="00E77CB7" w:rsidRDefault="00E77CB7"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6DA95" w14:textId="77777777" w:rsidR="00E77CB7" w:rsidRDefault="00E77CB7" w:rsidP="00EB0471">
      <w:r>
        <w:separator/>
      </w:r>
    </w:p>
  </w:footnote>
  <w:footnote w:type="continuationSeparator" w:id="0">
    <w:p w14:paraId="3B2313FA" w14:textId="77777777" w:rsidR="00E77CB7" w:rsidRDefault="00E77CB7"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040"/>
    <w:rsid w:val="000052A3"/>
    <w:rsid w:val="000057BF"/>
    <w:rsid w:val="000061CA"/>
    <w:rsid w:val="00025F21"/>
    <w:rsid w:val="0004143E"/>
    <w:rsid w:val="000430F0"/>
    <w:rsid w:val="00052E17"/>
    <w:rsid w:val="00060DF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1330"/>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27D8"/>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0BA"/>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E74C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D00E2"/>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B9B"/>
    <w:rsid w:val="00C71E22"/>
    <w:rsid w:val="00C73E19"/>
    <w:rsid w:val="00C74F6F"/>
    <w:rsid w:val="00C75EDA"/>
    <w:rsid w:val="00C77121"/>
    <w:rsid w:val="00C86230"/>
    <w:rsid w:val="00CA091B"/>
    <w:rsid w:val="00CB3E06"/>
    <w:rsid w:val="00CC0302"/>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458B8"/>
    <w:rsid w:val="00E64343"/>
    <w:rsid w:val="00E70104"/>
    <w:rsid w:val="00E77CB7"/>
    <w:rsid w:val="00E840D9"/>
    <w:rsid w:val="00E95E6A"/>
    <w:rsid w:val="00EA4540"/>
    <w:rsid w:val="00EA5D19"/>
    <w:rsid w:val="00EB0471"/>
    <w:rsid w:val="00EC216F"/>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97DB0"/>
    <w:rsid w:val="00FA1F7F"/>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2198</Words>
  <Characters>12529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4</cp:revision>
  <cp:lastPrinted>2025-05-28T15:34:00Z</cp:lastPrinted>
  <dcterms:created xsi:type="dcterms:W3CDTF">2026-06-01T17:28:00Z</dcterms:created>
  <dcterms:modified xsi:type="dcterms:W3CDTF">2026-06-04T18:57:00Z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