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60952" w:rsidRDefault="00060952" w:rsidP="00747F3C">
      <w:r w:rsidRPr="00122893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fldChar w:fldCharType="begin"/>
      </w:r>
      <w:r w:rsidRPr="00122893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instrText xml:space="preserve"> INCLUDEPICTURE "https://lh7-rt.googleusercontent.com/docsz/AD_4nXcJYadCg6eACHmkj3_lcX5C3kNP-Zmi4ZVoYtMg_nNE2aOkx6JaMsb7f2ozUKAt49s9LDKaoOdBFppB1PKLlNEWWBuEB8TrZQnddJDTOXiUWPsoDhwGHiU8dl2uR1aodRre1aTsSHn2M9t-Z88hvGUuLsc6?key=5FzoVyNrle-Ubg5_Vet7RA" \* MERGEFORMATINET </w:instrText>
      </w:r>
      <w:r w:rsidRPr="00122893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fldChar w:fldCharType="separate"/>
      </w:r>
      <w:r w:rsidRPr="00122893">
        <w:rPr>
          <w:rFonts w:ascii="Arial" w:eastAsia="Times New Roman" w:hAnsi="Arial" w:cs="Arial"/>
          <w:noProof/>
          <w:color w:val="000000"/>
          <w:kern w:val="0"/>
          <w:bdr w:val="none" w:sz="0" w:space="0" w:color="auto" w:frame="1"/>
          <w14:ligatures w14:val="none"/>
        </w:rPr>
        <w:drawing>
          <wp:inline distT="0" distB="0" distL="0" distR="0" wp14:anchorId="4F02301D" wp14:editId="21FCB1D0">
            <wp:extent cx="5025224" cy="3776567"/>
            <wp:effectExtent l="0" t="0" r="444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4526" cy="3806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22893">
        <w:rPr>
          <w:rFonts w:ascii="Arial" w:eastAsia="Times New Roman" w:hAnsi="Arial" w:cs="Arial"/>
          <w:color w:val="000000"/>
          <w:kern w:val="0"/>
          <w:bdr w:val="none" w:sz="0" w:space="0" w:color="auto" w:frame="1"/>
          <w14:ligatures w14:val="none"/>
        </w:rPr>
        <w:fldChar w:fldCharType="end"/>
      </w:r>
    </w:p>
    <w:p w:rsidR="00747F3C" w:rsidRDefault="00747F3C" w:rsidP="00747F3C">
      <w:r>
        <w:t>3. Results</w:t>
      </w:r>
    </w:p>
    <w:p w:rsidR="00747F3C" w:rsidRDefault="00747F3C" w:rsidP="00747F3C">
      <w:r>
        <w:t>3.1. Largemouth Bass</w:t>
      </w:r>
    </w:p>
    <w:p w:rsidR="00747F3C" w:rsidRDefault="00747F3C" w:rsidP="00747F3C">
      <w:r>
        <w:t>3.2. Water Quality</w:t>
      </w:r>
    </w:p>
    <w:p w:rsidR="00747F3C" w:rsidRDefault="00747F3C" w:rsidP="00747F3C">
      <w:r>
        <w:t>3.3. Toxins</w:t>
      </w:r>
    </w:p>
    <w:p w:rsidR="00747F3C" w:rsidRDefault="00747F3C" w:rsidP="00747F3C">
      <w:r>
        <w:t>3.3.1. Blood samples 1 versus 2</w:t>
      </w:r>
    </w:p>
    <w:p w:rsidR="00747F3C" w:rsidRDefault="00747F3C" w:rsidP="00747F3C">
      <w:r>
        <w:t>3.3.2. Blood samples 2 versus 3</w:t>
      </w:r>
    </w:p>
    <w:p w:rsidR="00747F3C" w:rsidRDefault="00747F3C" w:rsidP="00747F3C">
      <w:r>
        <w:t xml:space="preserve">All bass NLR significantly increased post-known-stressor introduction (Table 2; Figure 4). Interestingly, the control, Cd low, Cd high, and </w:t>
      </w:r>
      <w:proofErr w:type="spellStart"/>
      <w:r>
        <w:t>PFPeA</w:t>
      </w:r>
      <w:proofErr w:type="spellEnd"/>
      <w:r>
        <w:t xml:space="preserve"> low bass NLR increased more than the </w:t>
      </w:r>
      <w:proofErr w:type="spellStart"/>
      <w:r>
        <w:t>PFPeA</w:t>
      </w:r>
      <w:proofErr w:type="spellEnd"/>
      <w:r>
        <w:t xml:space="preserve"> high NLR after salinity introduction (Figure 4). The control bass NLR increased 78% (-21–301%; 95% CL) more than the </w:t>
      </w:r>
      <w:proofErr w:type="spellStart"/>
      <w:r>
        <w:t>PFPeA</w:t>
      </w:r>
      <w:proofErr w:type="spellEnd"/>
      <w:r>
        <w:t xml:space="preserve"> high group (Z15,48 = 1.40; p = 0.16). The Cd low (Z15,48 = 1.75; p = 0.080) and Cd high (Z15,48 = 1.95; p = 0.051) bass NLR increased 94% (-8–307%; 95% CL) and 127% (-1–418%; 95% CL) more than the </w:t>
      </w:r>
      <w:proofErr w:type="spellStart"/>
      <w:r>
        <w:t>PFPeA</w:t>
      </w:r>
      <w:proofErr w:type="spellEnd"/>
      <w:r>
        <w:t xml:space="preserve"> high group, respectively. The </w:t>
      </w:r>
      <w:proofErr w:type="spellStart"/>
      <w:r>
        <w:t>PFPeA</w:t>
      </w:r>
      <w:proofErr w:type="spellEnd"/>
      <w:r>
        <w:t xml:space="preserve"> low bass NLR increased 173% (21–515%; 95% CL) more than the </w:t>
      </w:r>
      <w:proofErr w:type="spellStart"/>
      <w:r>
        <w:t>PFPeA</w:t>
      </w:r>
      <w:proofErr w:type="spellEnd"/>
      <w:r>
        <w:t xml:space="preserve"> high group, the only statistically significant increase (Z15,48 = 2.42; p = 0.016).</w:t>
      </w:r>
    </w:p>
    <w:p w:rsidR="00747F3C" w:rsidRDefault="00747F3C" w:rsidP="00747F3C">
      <w:r>
        <w:t>3.3.3. Blood samples 3 versus 4</w:t>
      </w:r>
    </w:p>
    <w:p w:rsidR="00883338" w:rsidRDefault="00747F3C" w:rsidP="00747F3C">
      <w:r>
        <w:lastRenderedPageBreak/>
        <w:t xml:space="preserve">Seven days after the known environmental stressor introduction (blood samples 3 to 4), bass NLR declined in all groups, except </w:t>
      </w:r>
      <w:proofErr w:type="spellStart"/>
      <w:r>
        <w:t>PFPeA</w:t>
      </w:r>
      <w:proofErr w:type="spellEnd"/>
      <w:r>
        <w:t xml:space="preserve"> high—where bass NLR continued to increase (Table 3; Figure 4). More specifically, the </w:t>
      </w:r>
      <w:proofErr w:type="spellStart"/>
      <w:r>
        <w:t>PFPeA</w:t>
      </w:r>
      <w:proofErr w:type="spellEnd"/>
      <w:r>
        <w:t xml:space="preserve"> high bass NLR significantly increased 271% (75–688%; 95% CL), 223% (42–635%; 95% CL), and 526% (176–1319%; 95% CL) more than the Cd low (Z15,48 = 3.42; p &lt; 0.001), Cd high (Z15,48 = 2.80; p = 0.0051), and </w:t>
      </w:r>
      <w:proofErr w:type="spellStart"/>
      <w:r>
        <w:t>PFPeA</w:t>
      </w:r>
      <w:proofErr w:type="spellEnd"/>
      <w:r>
        <w:t xml:space="preserve"> low (Z15,48 = 4.40; p &lt; 0.001) groups, respectively, from blood sample 3 to 4. Bass NLR in the </w:t>
      </w:r>
      <w:proofErr w:type="spellStart"/>
      <w:r>
        <w:t>PFPeA</w:t>
      </w:r>
      <w:proofErr w:type="spellEnd"/>
      <w:r>
        <w:t xml:space="preserve"> high group increased 123% (-2–407%; 95% CL) compared to the control group from blood sample 3 to 4, although this was not statistically significant (Z15,48 = 1.92; p = 0.054; Figure 4). At the end of the study when the final blood sample was collected, </w:t>
      </w:r>
      <w:proofErr w:type="spellStart"/>
      <w:r>
        <w:t>PFPeA</w:t>
      </w:r>
      <w:proofErr w:type="spellEnd"/>
      <w:r>
        <w:t xml:space="preserve"> high bass NLR was significantly higher than the other four groups (all p &lt; 0.001; Figure 4).</w:t>
      </w:r>
    </w:p>
    <w:sectPr w:rsidR="0088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3C"/>
    <w:rsid w:val="00060952"/>
    <w:rsid w:val="000859C6"/>
    <w:rsid w:val="001D61EF"/>
    <w:rsid w:val="00507822"/>
    <w:rsid w:val="00747F3C"/>
    <w:rsid w:val="00796D02"/>
    <w:rsid w:val="00877B75"/>
    <w:rsid w:val="00883338"/>
    <w:rsid w:val="00AC30A7"/>
    <w:rsid w:val="00DB73B0"/>
    <w:rsid w:val="00E03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01F8E7"/>
  <w15:chartTrackingRefBased/>
  <w15:docId w15:val="{8F0EAACF-0C1C-8549-8AA6-FFDABB688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2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1</cp:revision>
  <dcterms:created xsi:type="dcterms:W3CDTF">2025-03-24T19:01:00Z</dcterms:created>
  <dcterms:modified xsi:type="dcterms:W3CDTF">2025-03-30T15:31:00Z</dcterms:modified>
</cp:coreProperties>
</file>