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77777777" w:rsidR="00F319FE" w:rsidRPr="00F319FE" w:rsidRDefault="00F319FE" w:rsidP="00F319FE">
      <w:pPr>
        <w:numPr>
          <w:ilvl w:val="0"/>
          <w:numId w:val="1"/>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Biodiversity is declining because of global change.</w:t>
      </w:r>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an asymmetry in the loss of biodiversity.</w:t>
      </w:r>
    </w:p>
    <w:p w14:paraId="37A6A4AF" w14:textId="17666524" w:rsidR="00F319FE" w:rsidRPr="00F319FE" w:rsidRDefault="00F319FE" w:rsidP="00A47881">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 xml:space="preserve">ectors are the ones changing first </w:t>
      </w:r>
      <w:proofErr w:type="gramStart"/>
      <w:r w:rsidR="00A47881" w:rsidRPr="00F319FE">
        <w:rPr>
          <w:rFonts w:ascii="Times New Roman" w:eastAsia="Times New Roman" w:hAnsi="Times New Roman" w:cs="Times New Roman"/>
          <w:color w:val="0E101A"/>
        </w:rPr>
        <w:t>as a result of</w:t>
      </w:r>
      <w:proofErr w:type="gramEnd"/>
      <w:r w:rsidR="00A47881" w:rsidRPr="00F319FE">
        <w:rPr>
          <w:rFonts w:ascii="Times New Roman" w:eastAsia="Times New Roman" w:hAnsi="Times New Roman" w:cs="Times New Roman"/>
          <w:color w:val="0E101A"/>
        </w:rPr>
        <w:t xml:space="preserve"> global change</w:t>
      </w:r>
      <w:r w:rsidR="00A47881">
        <w:rPr>
          <w:rFonts w:ascii="Times New Roman" w:eastAsia="Times New Roman" w:hAnsi="Times New Roman" w:cs="Times New Roman"/>
          <w:color w:val="0E101A"/>
        </w:rPr>
        <w:t>).</w:t>
      </w:r>
    </w:p>
    <w:p w14:paraId="0F08A70B"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increasing concern with frugivores because they play a vital role in dispersing seeds in the environment.</w:t>
      </w:r>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Discuss examples of declining or extinct plant species </w:t>
      </w:r>
      <w:proofErr w:type="gramStart"/>
      <w:r w:rsidRPr="00F319FE">
        <w:rPr>
          <w:rFonts w:ascii="Times New Roman" w:eastAsia="Times New Roman" w:hAnsi="Times New Roman" w:cs="Times New Roman"/>
          <w:color w:val="0E101A"/>
        </w:rPr>
        <w:t>as a result of</w:t>
      </w:r>
      <w:proofErr w:type="gramEnd"/>
      <w:r w:rsidRPr="00F319FE">
        <w:rPr>
          <w:rFonts w:ascii="Times New Roman" w:eastAsia="Times New Roman" w:hAnsi="Times New Roman" w:cs="Times New Roman"/>
          <w:color w:val="0E101A"/>
        </w:rPr>
        <w:t xml:space="preserve"> the loss of vectors.</w:t>
      </w:r>
    </w:p>
    <w:p w14:paraId="6D5D7B9A"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However, most of that work is </w:t>
      </w:r>
      <w:proofErr w:type="gramStart"/>
      <w:r w:rsidRPr="00F319FE">
        <w:rPr>
          <w:rFonts w:ascii="Times New Roman" w:eastAsia="Times New Roman" w:hAnsi="Times New Roman" w:cs="Times New Roman"/>
          <w:b/>
          <w:bCs/>
          <w:color w:val="0E101A"/>
        </w:rPr>
        <w:t>in particular systems</w:t>
      </w:r>
      <w:proofErr w:type="gramEnd"/>
      <w:r w:rsidRPr="00F319FE">
        <w:rPr>
          <w:rFonts w:ascii="Times New Roman" w:eastAsia="Times New Roman" w:hAnsi="Times New Roman" w:cs="Times New Roman"/>
          <w:b/>
          <w:bCs/>
          <w:color w:val="0E101A"/>
        </w:rPr>
        <w:t xml:space="preserve"> with more specialized mutualisms.</w:t>
      </w:r>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5"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6"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7"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8"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Three general ways that resources could affect animal behavior: abundance, quality, and diversity of resources. </w:t>
      </w:r>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We wanted to see if, in a depauperate system (vectors) do you still see a relationship between seed rain diversity/detections and resource diversity. (</w:t>
      </w:r>
      <w:proofErr w:type="gramStart"/>
      <w:r w:rsidRPr="00F319FE">
        <w:rPr>
          <w:rFonts w:ascii="Times New Roman" w:eastAsia="Times New Roman" w:hAnsi="Times New Roman" w:cs="Times New Roman"/>
          <w:b/>
          <w:bCs/>
          <w:color w:val="0E101A"/>
        </w:rPr>
        <w:t>this</w:t>
      </w:r>
      <w:proofErr w:type="gramEnd"/>
      <w:r w:rsidRPr="00F319FE">
        <w:rPr>
          <w:rFonts w:ascii="Times New Roman" w:eastAsia="Times New Roman" w:hAnsi="Times New Roman" w:cs="Times New Roman"/>
          <w:b/>
          <w:bCs/>
          <w:color w:val="0E101A"/>
        </w:rPr>
        <w:t xml:space="preserve"> paragraph is setting up what we did, a general idea of how we did it, the hypotheses we are testing, and why this system is for the hypotheses). </w:t>
      </w:r>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proofErr w:type="gramStart"/>
      <w:r w:rsidRPr="00F319FE">
        <w:rPr>
          <w:rFonts w:ascii="Times New Roman" w:eastAsia="Times New Roman" w:hAnsi="Times New Roman" w:cs="Times New Roman"/>
          <w:color w:val="0E101A"/>
        </w:rPr>
        <w:t>So</w:t>
      </w:r>
      <w:proofErr w:type="gramEnd"/>
      <w:r w:rsidRPr="00F319FE">
        <w:rPr>
          <w:rFonts w:ascii="Times New Roman" w:eastAsia="Times New Roman" w:hAnsi="Times New Roman" w:cs="Times New Roman"/>
          <w:color w:val="0E101A"/>
        </w:rPr>
        <w:t xml:space="preserve">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Given the diffuse mutualisms in temperate forests often involve many bird species, which are important for seed dispersal, we focused on birds and plant species that are </w:t>
      </w:r>
      <w:proofErr w:type="gramStart"/>
      <w:r w:rsidRPr="00F319FE">
        <w:rPr>
          <w:rFonts w:ascii="Times New Roman" w:eastAsia="Times New Roman" w:hAnsi="Times New Roman" w:cs="Times New Roman"/>
          <w:color w:val="0E101A"/>
        </w:rPr>
        <w:t>bird-dispersed</w:t>
      </w:r>
      <w:proofErr w:type="gramEnd"/>
      <w:r w:rsidRPr="00F319FE">
        <w:rPr>
          <w:rFonts w:ascii="Times New Roman" w:eastAsia="Times New Roman" w:hAnsi="Times New Roman" w:cs="Times New Roman"/>
          <w:color w:val="0E101A"/>
        </w:rPr>
        <w:t>.</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Early researchers, observing variation in seed size and fruit nutritional content, as well as vertebrate behavioral and ecological traits, hypothesized that tradeoffs in investment toward plant reproduction would be reflected in dispersal quality, leading to coevolved, specialized relationships (</w:t>
      </w:r>
      <w:hyperlink r:id="rId9"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0"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w:t>
      </w:r>
      <w:r w:rsidRPr="00A47881">
        <w:rPr>
          <w:rFonts w:ascii="Times New Roman" w:eastAsia="Times New Roman" w:hAnsi="Times New Roman" w:cs="Times New Roman"/>
          <w:color w:val="0E101A"/>
        </w:rPr>
        <w:lastRenderedPageBreak/>
        <w:t xml:space="preserve">nutrient-poor fruit were thought to be randomly dispersed by large groups of animals (i.e., colonization: </w:t>
      </w:r>
      <w:hyperlink r:id="rId11"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2"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3"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Fleming, T. H.</w:t>
      </w:r>
      <w:r w:rsidRPr="00BE122D">
        <w:rPr>
          <w:rFonts w:ascii="Arial" w:hAnsi="Arial" w:cs="Arial"/>
          <w:noProof/>
        </w:rPr>
        <w:t xml:space="preserve"> (1992). How do fruit- and nectar-feeding birds and mammals track their 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w:t>
      </w:r>
      <w:r w:rsidRPr="00BE122D">
        <w:rPr>
          <w:rFonts w:ascii="Arial" w:hAnsi="Arial" w:cs="Arial"/>
          <w:noProof/>
        </w:rPr>
        <w:lastRenderedPageBreak/>
        <w:t xml:space="preserve">(eds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Levey, D. J.</w:t>
      </w:r>
      <w:r w:rsidRPr="00BE122D">
        <w:rPr>
          <w:rFonts w:ascii="Arial" w:hAnsi="Arial" w:cs="Arial"/>
          <w:noProof/>
        </w:rPr>
        <w:t xml:space="preserve"> (1988). Spatial and temporal variation in costa rican fruit and fruit-eating </w:t>
      </w:r>
      <w:r w:rsidRPr="00BE122D">
        <w:rPr>
          <w:rFonts w:ascii="Arial" w:hAnsi="Arial" w:cs="Arial"/>
          <w:noProof/>
        </w:rPr>
        <w:lastRenderedPageBreak/>
        <w:t xml:space="preserve">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lastRenderedPageBreak/>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4"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1836CA"/>
    <w:rsid w:val="002332EB"/>
    <w:rsid w:val="00361EAB"/>
    <w:rsid w:val="003846A4"/>
    <w:rsid w:val="00636D35"/>
    <w:rsid w:val="00936F7F"/>
    <w:rsid w:val="009915C3"/>
    <w:rsid w:val="00994F10"/>
    <w:rsid w:val="00A47881"/>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 w:type="paragraph" w:styleId="Revision">
    <w:name w:val="Revision"/>
    <w:hidden/>
    <w:uiPriority w:val="99"/>
    <w:semiHidden/>
    <w:rsid w:val="00361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169-5347(88)90061-4" TargetMode="External"/><Relationship Id="rId13" Type="http://schemas.openxmlformats.org/officeDocument/2006/relationships/hyperlink" Target="https://doi.org/10.1111/j.1469-185X.2012.00250.x" TargetMode="External"/><Relationship Id="rId3" Type="http://schemas.openxmlformats.org/officeDocument/2006/relationships/settings" Target="settings.xml"/><Relationship Id="rId7" Type="http://schemas.openxmlformats.org/officeDocument/2006/relationships/hyperlink" Target="https://www.journals.uchicago.edu/doi/abs/10.1086/283657" TargetMode="External"/><Relationship Id="rId12" Type="http://schemas.openxmlformats.org/officeDocument/2006/relationships/hyperlink" Target="https://doi.org/10.2307/19424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11/1365-2745.13534" TargetMode="External"/><Relationship Id="rId11" Type="http://schemas.openxmlformats.org/officeDocument/2006/relationships/hyperlink" Target="https://www.journals.uchicago.edu/doi/abs/10.1086/283918" TargetMode="External"/><Relationship Id="rId5" Type="http://schemas.openxmlformats.org/officeDocument/2006/relationships/hyperlink" Target="https://doi.org/10.2307/2937263" TargetMode="External"/><Relationship Id="rId15" Type="http://schemas.openxmlformats.org/officeDocument/2006/relationships/fontTable" Target="fontTable.xml"/><Relationship Id="rId10" Type="http://schemas.openxmlformats.org/officeDocument/2006/relationships/hyperlink" Target="http://www.evolutionary-ecology.com/issues/v03n01/ggar1226.pdf" TargetMode="External"/><Relationship Id="rId4" Type="http://schemas.openxmlformats.org/officeDocument/2006/relationships/webSettings" Target="webSettings.xml"/><Relationship Id="rId9" Type="http://schemas.openxmlformats.org/officeDocument/2006/relationships/hyperlink" Target="https://doi.org/10.2307/3565124" TargetMode="External"/><Relationship Id="rId14" Type="http://schemas.openxmlformats.org/officeDocument/2006/relationships/hyperlink" Target="https://onlinelibrary.wiley.com/doi/full/10.1002/ece3.5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Tyler Coleman</cp:lastModifiedBy>
  <cp:revision>3</cp:revision>
  <dcterms:created xsi:type="dcterms:W3CDTF">2021-11-01T17:47:00Z</dcterms:created>
  <dcterms:modified xsi:type="dcterms:W3CDTF">2021-11-02T21:29:00Z</dcterms:modified>
</cp:coreProperties>
</file>