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Micropterus salmoides</w:t>
      </w:r>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w:t>
      </w:r>
      <w:proofErr w:type="gramStart"/>
      <w:r w:rsidRPr="00DF0FB8">
        <w:t>declined</w:t>
      </w:r>
      <w:proofErr w:type="gramEnd"/>
      <w:r w:rsidRPr="00DF0FB8">
        <w:t xml:space="preserve">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319F4343" w:rsidR="00DF0FB8" w:rsidRPr="00DF0FB8" w:rsidRDefault="00DF0FB8" w:rsidP="00DF0FB8">
      <w:pPr>
        <w:tabs>
          <w:tab w:val="left" w:pos="920"/>
        </w:tabs>
        <w:spacing w:line="480" w:lineRule="auto"/>
      </w:pPr>
      <w:r w:rsidRPr="00DF0FB8">
        <w:lastRenderedPageBreak/>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U.S.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193011B0" w:rsidR="00DF0FB8" w:rsidRPr="00DF0FB8" w:rsidRDefault="00DF0FB8" w:rsidP="00DF0FB8">
      <w:pPr>
        <w:tabs>
          <w:tab w:val="left" w:pos="920"/>
        </w:tabs>
        <w:spacing w:line="480" w:lineRule="auto"/>
      </w:pPr>
      <w:r w:rsidRPr="00DF0FB8">
        <w:tab/>
        <w:t xml:space="preserve">Largemouth Bass </w:t>
      </w:r>
      <w:r w:rsidRPr="00DF0FB8">
        <w:rPr>
          <w:i/>
        </w:rPr>
        <w:t xml:space="preserve">Micropterus salmoides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attracting nearly 9.6 million anglers in 2016 (USDOI 2018). Both Largemouth Bass and Bluegill are widespread</w:t>
      </w:r>
      <w:r w:rsidR="00731659">
        <w:t xml:space="preserve"> and</w:t>
      </w:r>
      <w:r w:rsidRPr="00DF0FB8">
        <w:t xml:space="preserve"> popular sport fishes </w:t>
      </w:r>
      <w:r w:rsidRPr="00DF0FB8">
        <w:fldChar w:fldCharType="begin"/>
      </w:r>
      <w:r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(Wright and Kraft 2012)</w:t>
      </w:r>
      <w:r w:rsidRPr="00DF0FB8">
        <w:fldChar w:fldCharType="end"/>
      </w:r>
      <w:r w:rsidRPr="00DF0FB8">
        <w:t xml:space="preserve">. </w:t>
      </w:r>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sizes of both Largemouth Bass and Bluegill. Fish density is typically the object of manipulation </w:t>
      </w:r>
      <w:r w:rsidRPr="00DF0FB8">
        <w:lastRenderedPageBreak/>
        <w:t xml:space="preserve">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maintain balanced populations of Largemouth Bass and Bluegill in small impoundments include </w:t>
      </w:r>
      <w:r w:rsidRPr="00DF0FB8">
        <w:lastRenderedPageBreak/>
        <w:t xml:space="preserve">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21919D5"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fall electrofishing to reduce bass densities in two 24–28 ha impoundments, which led to increased Largemouth Bass growth and improved Bluegill size structure and crappie </w:t>
      </w:r>
      <w:r w:rsidRPr="00DF0FB8">
        <w:rPr>
          <w:i/>
          <w:iCs/>
        </w:rPr>
        <w:t>Pomoxis</w:t>
      </w:r>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reducing age-0 and age-1 Largemouth Bass densities in small impoundments</w:t>
      </w:r>
      <w:r w:rsidR="00731659">
        <w:t xml:space="preserve"> (≤11 ha)</w:t>
      </w:r>
      <w:r w:rsidRPr="00DF0FB8">
        <w:t xml:space="preserve">, (2) investigate </w:t>
      </w:r>
      <w:r w:rsidRPr="00DF0FB8">
        <w:lastRenderedPageBreak/>
        <w:t>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7777777"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Small impoundments were chosen to be treated with rotenone or not treated based on private owner and Auburn University requests, such that some people did not want rotenone to be applied in specific areas due to potential negative effects on the surrounding ecosystem. We sampled impoundments during spring 2017 through spring 2019 for this study; we sampled using electrofishing each spring and applied rotenone treatments and seined in the summers of 2017 and 2018, 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77777777" w:rsidR="00DF0FB8" w:rsidRPr="00DF0FB8" w:rsidRDefault="00DF0FB8" w:rsidP="00DF0FB8">
      <w:pPr>
        <w:tabs>
          <w:tab w:val="left" w:pos="920"/>
        </w:tabs>
        <w:spacing w:line="480" w:lineRule="auto"/>
      </w:pPr>
      <w:r w:rsidRPr="00DF0FB8">
        <w:rPr>
          <w:iCs/>
        </w:rPr>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w:t>
      </w:r>
      <w:r w:rsidRPr="00DF0FB8">
        <w:lastRenderedPageBreak/>
        <w:t xml:space="preserve">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simultaneously between the subsurface injector and shoreline. We made a single pass around the perimeter of each treatment impoundment, applying 0.5 L rotenone per 90 m of shoreline.</w:t>
      </w:r>
    </w:p>
    <w:p w14:paraId="00B79F69" w14:textId="77777777" w:rsidR="00DF0FB8" w:rsidRPr="00DF0FB8" w:rsidRDefault="00DF0FB8" w:rsidP="00DF0FB8">
      <w:pPr>
        <w:tabs>
          <w:tab w:val="left" w:pos="920"/>
        </w:tabs>
        <w:spacing w:line="480" w:lineRule="auto"/>
        <w:rPr>
          <w:iCs/>
        </w:rPr>
      </w:pPr>
    </w:p>
    <w:p w14:paraId="1F6B4102" w14:textId="765A38DB"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(days 2 and 22) rotenone application, and the fifth sample was a mid-summer follow-up (day 42). On days 1 and 21, we seined treatment impoundments at sunrise (i.e., immediately before rotenone application; see above) and control impoundments immediately after we treated the treatment impoundment (all on the same day). The day after each rotenone application, days 2 and 22, we seined in the treatment and control impoundments at similar times of day as the pre-</w:t>
      </w:r>
      <w:r w:rsidRPr="00DF0FB8">
        <w:lastRenderedPageBreak/>
        <w:t xml:space="preserv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w:t>
      </w:r>
      <w:proofErr w:type="gramStart"/>
      <w:r w:rsidRPr="00DF0FB8">
        <w:t>estimate</w:t>
      </w:r>
      <w:proofErr w:type="gramEnd"/>
      <w:r w:rsidRPr="00DF0FB8">
        <w:t xml:space="preserve"> and a consensus age was reached by discussion.</w:t>
      </w:r>
    </w:p>
    <w:p w14:paraId="5AD3D3E5" w14:textId="77777777" w:rsidR="00DF0FB8" w:rsidRPr="00DF0FB8" w:rsidRDefault="00DF0FB8" w:rsidP="00DF0FB8">
      <w:pPr>
        <w:tabs>
          <w:tab w:val="left" w:pos="920"/>
        </w:tabs>
        <w:spacing w:line="480" w:lineRule="auto"/>
      </w:pPr>
    </w:p>
    <w:p w14:paraId="0B74F061" w14:textId="52DDFE48"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small 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w:t>
      </w:r>
      <w:r w:rsidR="00731659">
        <w:t>The model included</w:t>
      </w:r>
      <w:r w:rsidRPr="00DF0FB8">
        <w:t xml:space="preserve"> random effects for impoundment x year intercepts and fixed effects of application (first: day-1 vs. day-2, and second: day-21 vs. day-22), treatment (control/treatment), </w:t>
      </w:r>
      <w:proofErr w:type="gramStart"/>
      <w:r w:rsidRPr="00DF0FB8">
        <w:t>time period</w:t>
      </w:r>
      <w:proofErr w:type="gramEnd"/>
      <w:r w:rsidRPr="00DF0FB8">
        <w:t xml:space="preserve"> (before/after treatment), and all interactions. The treatment x time interaction tested whether catches declined significantly more in treatments than controls. </w:t>
      </w:r>
    </w:p>
    <w:p w14:paraId="20367A34" w14:textId="77777777" w:rsidR="00DF0FB8" w:rsidRPr="00DF0FB8" w:rsidRDefault="00DF0FB8" w:rsidP="00DF0FB8">
      <w:pPr>
        <w:tabs>
          <w:tab w:val="left" w:pos="920"/>
        </w:tabs>
        <w:spacing w:line="480" w:lineRule="auto"/>
      </w:pPr>
      <w:r w:rsidRPr="00DF0FB8">
        <w:tab/>
        <w:t xml:space="preserve">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sampling distribution which included random effects for impoundment x year intercepts and fixed effects of treatment, </w:t>
      </w:r>
      <w:proofErr w:type="gramStart"/>
      <w:r w:rsidRPr="00DF0FB8">
        <w:t>time period</w:t>
      </w:r>
      <w:proofErr w:type="gramEnd"/>
      <w:r w:rsidRPr="00DF0FB8">
        <w:t>, and their interaction.</w:t>
      </w:r>
    </w:p>
    <w:p w14:paraId="64FAE2DF" w14:textId="77777777" w:rsidR="00DF0FB8" w:rsidRPr="00DF0FB8" w:rsidRDefault="00DF0FB8" w:rsidP="00DF0FB8">
      <w:pPr>
        <w:tabs>
          <w:tab w:val="left" w:pos="920"/>
        </w:tabs>
        <w:spacing w:line="480" w:lineRule="auto"/>
      </w:pPr>
      <w:r w:rsidRPr="00DF0FB8">
        <w:tab/>
        <w:t xml:space="preserve">We compared Largemouth Bass mean length-at-age (MLA)-0 in the pre-treatment and mid-summer follow-up seine samples using a BACI analysis, estimating initial growth differences between control and treatment small impoundments. We conducted this analysis using a linear mixed-effects model and natural-log-transformed mean total length data for each impoundment each year to meet the assumption of normality. We included independent random </w:t>
      </w:r>
      <w:r w:rsidRPr="00DF0FB8">
        <w:lastRenderedPageBreak/>
        <w:t xml:space="preserve">effects of impoundment and year intercepts and fixed effects of treatment, </w:t>
      </w:r>
      <w:proofErr w:type="gramStart"/>
      <w:r w:rsidRPr="00DF0FB8">
        <w:t>time period</w:t>
      </w:r>
      <w:proofErr w:type="gramEnd"/>
      <w:r w:rsidRPr="00DF0FB8">
        <w:t xml:space="preserve">, and their interaction. </w:t>
      </w:r>
    </w:p>
    <w:p w14:paraId="07DE77E1" w14:textId="77777777" w:rsidR="00DF0FB8" w:rsidRPr="00DF0FB8" w:rsidRDefault="00DF0FB8" w:rsidP="00DF0FB8">
      <w:pPr>
        <w:tabs>
          <w:tab w:val="left" w:pos="920"/>
        </w:tabs>
        <w:spacing w:line="480" w:lineRule="auto"/>
        <w:rPr>
          <w:iCs/>
        </w:rPr>
      </w:pPr>
    </w:p>
    <w:p w14:paraId="7CA9B7AB" w14:textId="77777777"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7777777"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on non-target fish for rotenone application (i.e., stock-sized Bluegill) using Bluegill CPUE. For each dependent variable, we fit a linear mixed-effects model via maximum likelihood with an independent random effect of impoundment intercepts—no year effect for the same reason as above—and a fixed effect of rotenone treatment (control, once, or twice) on the natural logarithm of CPUE. </w:t>
      </w:r>
    </w:p>
    <w:p w14:paraId="6ADE09A8" w14:textId="77777777" w:rsidR="00DF0FB8" w:rsidRPr="00DF0FB8" w:rsidRDefault="00DF0FB8" w:rsidP="00DF0FB8">
      <w:pPr>
        <w:tabs>
          <w:tab w:val="left" w:pos="920"/>
        </w:tabs>
        <w:spacing w:line="480" w:lineRule="auto"/>
      </w:pPr>
      <w:r w:rsidRPr="00DF0FB8">
        <w:lastRenderedPageBreak/>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via maximum likelihood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049C365D" w:rsidR="00DF0FB8" w:rsidRPr="00DF0FB8" w:rsidRDefault="00DF0FB8" w:rsidP="00DF0FB8">
      <w:pPr>
        <w:tabs>
          <w:tab w:val="left" w:pos="920"/>
        </w:tabs>
        <w:spacing w:line="480" w:lineRule="auto"/>
      </w:pPr>
      <w:r w:rsidRPr="00DF0FB8">
        <w:tab/>
        <w:t xml:space="preserve">The treatment x </w:t>
      </w:r>
      <w:proofErr w:type="gramStart"/>
      <w:r w:rsidRPr="00DF0FB8">
        <w:t>time period</w:t>
      </w:r>
      <w:proofErr w:type="gramEnd"/>
      <w:r w:rsidRPr="00DF0FB8">
        <w:t xml:space="preserve">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=0.38, p=0.57; Figure 2). In other words, regardless of application (day 1 or 21), the same immediate treatment effect was observed. Small impoundments treated with rotenone experienced an additional 96% (89–99%; 95% CI) reduction in Largemouth Bass seine catches the day following application (i.e., day 1/21 to day 2/22) compared to control impoundments (F</w:t>
      </w:r>
      <w:r w:rsidRPr="00DF0FB8">
        <w:softHyphen/>
      </w:r>
      <w:r w:rsidRPr="00DF0FB8">
        <w:rPr>
          <w:vertAlign w:val="subscript"/>
        </w:rPr>
        <w:t>1,61</w:t>
      </w:r>
      <w:r w:rsidRPr="00DF0FB8">
        <w:t>=44.57, p&lt;0.001; Figure 2). Bluegill seine catches were also unrelated to application and its associated interactions (F</w:t>
      </w:r>
      <w:r w:rsidRPr="00DF0FB8">
        <w:softHyphen/>
      </w:r>
      <w:r w:rsidRPr="00DF0FB8">
        <w:rPr>
          <w:vertAlign w:val="subscript"/>
        </w:rPr>
        <w:t>1,57</w:t>
      </w:r>
      <w:r w:rsidRPr="00DF0FB8">
        <w:t xml:space="preserve">=0.50, p=0.48). We observed a statistically significant treatment x </w:t>
      </w:r>
      <w:proofErr w:type="gramStart"/>
      <w:r w:rsidRPr="00DF0FB8">
        <w:t>time period</w:t>
      </w:r>
      <w:proofErr w:type="gramEnd"/>
      <w:r w:rsidRPr="00DF0FB8">
        <w:t xml:space="preserve"> interaction (F</w:t>
      </w:r>
      <w:r w:rsidRPr="00DF0FB8">
        <w:rPr>
          <w:vertAlign w:val="subscript"/>
        </w:rPr>
        <w:t>1,61</w:t>
      </w:r>
      <w:r w:rsidRPr="00DF0FB8">
        <w:t xml:space="preserve">=7.48, </w:t>
      </w:r>
      <w:r w:rsidRPr="00DF0FB8">
        <w:lastRenderedPageBreak/>
        <w:t xml:space="preserve">p=0.0070) where treatments experienced an additional 62% (23–81%; 95% CI) reduction in Bluegill seine catches the day after rotenone applications compared with controls (Figure 2). </w:t>
      </w:r>
    </w:p>
    <w:p w14:paraId="78E90F4F" w14:textId="229BBB29"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 xml:space="preserve">=5.69; p=0.24) seine catches were not significantly different initially in treatment and control small impoundments (Figure 3). When observing day-1 compared to the mid-summer follow-up (i.e., day-42) Largemouth Bass seine catches, we found the treatment x </w:t>
      </w:r>
      <w:proofErr w:type="gramStart"/>
      <w:r w:rsidRPr="00DF0FB8">
        <w:t>time period</w:t>
      </w:r>
      <w:proofErr w:type="gramEnd"/>
      <w:r w:rsidRPr="00DF0FB8">
        <w:t xml:space="preserve">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 xml:space="preserve">treatment impoundments compared to controls (Figure 3).  However, for Bluegill seine catches, the treatment x </w:t>
      </w:r>
      <w:proofErr w:type="gramStart"/>
      <w:r w:rsidRPr="00DF0FB8">
        <w:t>time period</w:t>
      </w:r>
      <w:proofErr w:type="gramEnd"/>
      <w:r w:rsidRPr="00DF0FB8">
        <w:t xml:space="preserve">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77777777" w:rsidR="00DF0FB8" w:rsidRPr="00DF0FB8" w:rsidRDefault="00DF0FB8" w:rsidP="00DF0FB8">
      <w:pPr>
        <w:tabs>
          <w:tab w:val="left" w:pos="920"/>
        </w:tabs>
        <w:spacing w:line="480" w:lineRule="auto"/>
      </w:pPr>
      <w:r w:rsidRPr="00DF0FB8">
        <w:tab/>
        <w:t>In treatment small 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 xml:space="preserve">=0.025; p=0.94). The treatment x </w:t>
      </w:r>
      <w:proofErr w:type="gramStart"/>
      <w:r w:rsidRPr="00DF0FB8">
        <w:t>time period</w:t>
      </w:r>
      <w:proofErr w:type="gramEnd"/>
      <w:r w:rsidRPr="00DF0FB8">
        <w:t xml:space="preserve">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6402748" w:rsidR="00DF0FB8" w:rsidRPr="00DF0FB8" w:rsidRDefault="00DF0FB8" w:rsidP="00DF0FB8">
      <w:pPr>
        <w:tabs>
          <w:tab w:val="left" w:pos="920"/>
        </w:tabs>
        <w:spacing w:line="480" w:lineRule="auto"/>
        <w:rPr>
          <w:iCs/>
        </w:rPr>
      </w:pPr>
      <w:r w:rsidRPr="00DF0FB8">
        <w:rPr>
          <w:iCs/>
        </w:rPr>
        <w:lastRenderedPageBreak/>
        <w:tab/>
        <w:t>Largemouth Bass MLA-1 in small 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In small impoundments, we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0673612F"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w:t>
      </w:r>
      <w:r w:rsidRPr="00DF0FB8">
        <w:rPr>
          <w:iCs/>
        </w:rPr>
        <w:lastRenderedPageBreak/>
        <w:t xml:space="preserve">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small impoundments significantly declined 24 hours after rotenone applications, whereas catches in control small 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small 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xml:space="preserve">. When Bluegill fry move from pelagic to littoral areas, they become more vulnerable to shoreline rotenone application. However, adult Bluegill can spawn multiple times throughout the summer, and fry transition from pelagic to littoral </w:t>
      </w:r>
      <w:r w:rsidRPr="00DF0FB8">
        <w:rPr>
          <w:iCs/>
        </w:rPr>
        <w:lastRenderedPageBreak/>
        <w:t>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72273621"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 small impoundments—regardless of being treated once or twice—</w:t>
      </w:r>
      <w:proofErr w:type="gramStart"/>
      <w:r w:rsidRPr="00DF0FB8">
        <w:rPr>
          <w:iCs/>
        </w:rPr>
        <w:t>similar to</w:t>
      </w:r>
      <w:proofErr w:type="gramEnd"/>
      <w:r w:rsidRPr="00DF0FB8">
        <w:rPr>
          <w:iCs/>
        </w:rPr>
        <w:t xml:space="preserve">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w:t>
      </w:r>
      <w:r w:rsidRPr="00DF0FB8">
        <w:rPr>
          <w:iCs/>
        </w:rPr>
        <w:lastRenderedPageBreak/>
        <w:t xml:space="preserve">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r w:rsidRPr="00DF0FB8">
        <w:rPr>
          <w:i/>
        </w:rPr>
        <w:t>Ambloplites rupestris</w:t>
      </w:r>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masking treatment effects. Alternatively, perhaps density-dependent growth 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21D9F950"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w:t>
      </w:r>
      <w:r w:rsidRPr="00DF0FB8">
        <w:rPr>
          <w:iCs/>
        </w:rPr>
        <w:lastRenderedPageBreak/>
        <w:t xml:space="preserve">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r w:rsidRPr="00DF0FB8">
        <w:rPr>
          <w:i/>
        </w:rPr>
        <w:t>Ctenopharyngodon idella</w:t>
      </w:r>
      <w:r w:rsidRPr="00DF0FB8">
        <w:rPr>
          <w:iCs/>
        </w:rPr>
        <w:t xml:space="preserve">) were killed during the shoreline rotenone treatment. In the present study, we observed various numbers of larger Bluegill and Largemouth Bass mortality events (i.e., from none to nearly 200) along the shoreline of our treatment small 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08B6FAC5"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small impoundments tend to 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small 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lastRenderedPageBreak/>
        <w:t xml:space="preserve">[A]Management Implications </w:t>
      </w:r>
    </w:p>
    <w:p w14:paraId="5B113054" w14:textId="38AC5CB7"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sized small 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technique may need to be repeated at regular intervals (e.g., 2–4 years), 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6842A83C"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w:t>
      </w:r>
      <w:r w:rsidRPr="00DF0FB8">
        <w:lastRenderedPageBreak/>
        <w:t xml:space="preserve">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lastRenderedPageBreak/>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proofErr w:type="spellStart"/>
      <w:r w:rsidRPr="00816EBC">
        <w:t>Gabelhouse</w:t>
      </w:r>
      <w:proofErr w:type="spellEnd"/>
      <w:r w:rsidRPr="00816EBC">
        <w:t>,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lastRenderedPageBreak/>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lastRenderedPageBreak/>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lastRenderedPageBreak/>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A239D" w14:textId="77777777" w:rsidR="00A34F83" w:rsidRDefault="00A34F83" w:rsidP="005723B5">
      <w:r>
        <w:separator/>
      </w:r>
    </w:p>
  </w:endnote>
  <w:endnote w:type="continuationSeparator" w:id="0">
    <w:p w14:paraId="6438E885" w14:textId="77777777" w:rsidR="00A34F83" w:rsidRDefault="00A34F83"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7749" w14:textId="77777777" w:rsidR="00A34F83" w:rsidRDefault="00A34F83" w:rsidP="005723B5">
      <w:r>
        <w:separator/>
      </w:r>
    </w:p>
  </w:footnote>
  <w:footnote w:type="continuationSeparator" w:id="0">
    <w:p w14:paraId="78F35F81" w14:textId="77777777" w:rsidR="00A34F83" w:rsidRDefault="00A34F83"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36208"/>
    <w:rsid w:val="0063769F"/>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1659"/>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4F83"/>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33C82"/>
    <w:rsid w:val="00C3791F"/>
    <w:rsid w:val="00C45251"/>
    <w:rsid w:val="00C45555"/>
    <w:rsid w:val="00C77A17"/>
    <w:rsid w:val="00CA0CF6"/>
    <w:rsid w:val="00CA54D6"/>
    <w:rsid w:val="00CC359F"/>
    <w:rsid w:val="00CC5F9D"/>
    <w:rsid w:val="00CD1DCA"/>
    <w:rsid w:val="00CD774F"/>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DF0FB8"/>
    <w:rsid w:val="00E00B2A"/>
    <w:rsid w:val="00E1215A"/>
    <w:rsid w:val="00E1759E"/>
    <w:rsid w:val="00E236C8"/>
    <w:rsid w:val="00E47E2E"/>
    <w:rsid w:val="00E50556"/>
    <w:rsid w:val="00E737FF"/>
    <w:rsid w:val="00E73F3A"/>
    <w:rsid w:val="00E74241"/>
    <w:rsid w:val="00E74B2A"/>
    <w:rsid w:val="00E927F2"/>
    <w:rsid w:val="00E9284B"/>
    <w:rsid w:val="00E9285E"/>
    <w:rsid w:val="00E95A22"/>
    <w:rsid w:val="00EA5F30"/>
    <w:rsid w:val="00EC5590"/>
    <w:rsid w:val="00ED50FE"/>
    <w:rsid w:val="00EF191B"/>
    <w:rsid w:val="00EF3F5E"/>
    <w:rsid w:val="00EF6EF8"/>
    <w:rsid w:val="00F034C9"/>
    <w:rsid w:val="00F10D6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4004</TotalTime>
  <Pages>22</Pages>
  <Words>24146</Words>
  <Characters>137634</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70</cp:revision>
  <cp:lastPrinted>2023-01-18T18:49:00Z</cp:lastPrinted>
  <dcterms:created xsi:type="dcterms:W3CDTF">2021-09-27T12:56:00Z</dcterms:created>
  <dcterms:modified xsi:type="dcterms:W3CDTF">2023-06-30T17:21:00Z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