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5C886042" w14:textId="76E1AB26" w:rsidR="002736F1" w:rsidRPr="002736F1" w:rsidRDefault="002736F1" w:rsidP="00F66318">
      <w:pPr>
        <w:spacing w:line="480" w:lineRule="auto"/>
        <w:rPr>
          <w:bCs/>
        </w:rPr>
      </w:pPr>
    </w:p>
    <w:p w14:paraId="2C5824E1" w14:textId="77777777" w:rsidR="002736F1" w:rsidRPr="002736F1" w:rsidRDefault="002736F1" w:rsidP="00F66318">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1866B459" w14:textId="77777777" w:rsidR="00161E18"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6063D560" w:rsidR="001117F0" w:rsidRDefault="00DF0FB8" w:rsidP="001117F0">
      <w:pPr>
        <w:spacing w:line="480" w:lineRule="auto"/>
        <w:ind w:firstLine="720"/>
      </w:pPr>
      <w:r w:rsidRPr="00DF0FB8">
        <w:t xml:space="preserve">Reducing Largemouth Bass </w:t>
      </w:r>
      <w:r w:rsidRPr="00DF0FB8">
        <w:rPr>
          <w:i/>
        </w:rPr>
        <w:t>Micropterus salmoides</w:t>
      </w:r>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w:t>
      </w:r>
      <w:proofErr w:type="gramStart"/>
      <w:r w:rsidRPr="00DF0FB8">
        <w:t>declined</w:t>
      </w:r>
      <w:proofErr w:type="gramEnd"/>
      <w:r w:rsidRPr="00DF0FB8">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w:t>
      </w:r>
      <w:r w:rsidRPr="00DF0FB8">
        <w:lastRenderedPageBreak/>
        <w:t>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6A2D1157" w:rsidR="00DF0FB8" w:rsidRPr="00DF0FB8" w:rsidRDefault="00DF0FB8" w:rsidP="00DF0FB8">
      <w:pPr>
        <w:tabs>
          <w:tab w:val="left" w:pos="920"/>
        </w:tabs>
        <w:spacing w:line="480" w:lineRule="auto"/>
      </w:pPr>
      <w:r w:rsidRPr="00DF0FB8">
        <w:t xml:space="preserve">Small impoundments (water bodies &lt;200 hectares [ha]) are ecologically, economically, and aesthetically important in the United States. In 2016, 83% or 24.6 </w:t>
      </w:r>
      <w:proofErr w:type="spellStart"/>
      <w:r w:rsidRPr="00DF0FB8">
        <w:t>million</w:t>
      </w:r>
      <w:proofErr w:type="spellEnd"/>
      <w:r w:rsidRPr="00DF0FB8">
        <w:t xml:space="preserve"> of all U.S.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193011B0" w:rsidR="00DF0FB8" w:rsidRPr="00DF0FB8" w:rsidRDefault="00DF0FB8" w:rsidP="00DF0FB8">
      <w:pPr>
        <w:tabs>
          <w:tab w:val="left" w:pos="920"/>
        </w:tabs>
        <w:spacing w:line="480" w:lineRule="auto"/>
      </w:pPr>
      <w:r w:rsidRPr="00DF0FB8">
        <w:tab/>
        <w:t xml:space="preserve">Largemouth Bass </w:t>
      </w:r>
      <w:r w:rsidRPr="00DF0FB8">
        <w:rPr>
          <w:i/>
        </w:rPr>
        <w:t xml:space="preserve">Micropterus salmoides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 xml:space="preserve">(Allen et al. 2008; Carlson and Isermann 2010; Bonvechio et al. 2014; Claussen </w:t>
      </w:r>
      <w:r w:rsidRPr="00DF0FB8">
        <w:lastRenderedPageBreak/>
        <w:t>2015)</w:t>
      </w:r>
      <w:r w:rsidRPr="00DF0FB8">
        <w:fldChar w:fldCharType="end"/>
      </w:r>
      <w:r w:rsidRPr="00DF0FB8">
        <w:t>, attracting nearly 9.6 million anglers in 2016 (USDOI 2018). Both Largemouth Bass and Bluegill are widespread</w:t>
      </w:r>
      <w:r w:rsidR="00731659">
        <w:t xml:space="preserve"> and</w:t>
      </w:r>
      <w:r w:rsidRPr="00DF0FB8">
        <w:t xml:space="preserve"> popular sport fishes </w:t>
      </w:r>
      <w:r w:rsidRPr="00DF0FB8">
        <w:fldChar w:fldCharType="begin"/>
      </w:r>
      <w:r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(Wright and Kraft 2012)</w:t>
      </w:r>
      <w:r w:rsidRPr="00DF0FB8">
        <w:fldChar w:fldCharType="end"/>
      </w:r>
      <w:r w:rsidRPr="00DF0FB8">
        <w:t xml:space="preserve">. </w:t>
      </w:r>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sizes of both Largemouth Bass and Bluegill. Fish density is typically the object of manipulation 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6F5DDA7E"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 xml:space="preserve">(Quinn 1996; Sammons </w:t>
      </w:r>
      <w:r w:rsidRPr="00DF0FB8">
        <w:lastRenderedPageBreak/>
        <w:t>and Maceina 2005; Wright and Kraft 2012; Bonvechio et al. 2014)</w:t>
      </w:r>
      <w:r w:rsidRPr="00DF0FB8">
        <w:fldChar w:fldCharType="end"/>
      </w:r>
      <w:r w:rsidRPr="00DF0FB8">
        <w:t>. Additionally, Largemouth Bass spawn annually at rates of 900–3200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maintain balanced populations of Largemouth Bass and Bluegill in small impoundments include 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C45251">
        <w:t>U.S.</w:t>
      </w:r>
      <w:r w:rsidRPr="00DF0FB8">
        <w:t xml:space="preserve"> would benefit from the development and enhancement of an improved method for controlling Largemouth Bass recruitment. </w:t>
      </w:r>
    </w:p>
    <w:p w14:paraId="4B8AC790" w14:textId="521919D5"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fall electrofishing to reduce bass densities in two 24–28 ha impoundments, which led to increased Largemouth Bass growth and improved Bluegill size structure and crappie </w:t>
      </w:r>
      <w:r w:rsidRPr="00DF0FB8">
        <w:rPr>
          <w:i/>
          <w:iCs/>
        </w:rPr>
        <w:t>Pomoxis</w:t>
      </w:r>
      <w:r w:rsidRPr="00DF0FB8">
        <w:t xml:space="preserve"> spp. recruitment. Juvenile Largemouth Bass recruit in littoral areas of impoundments after dispersing from male-guarded fry schools in late spring </w:t>
      </w:r>
      <w:r w:rsidRPr="00DF0FB8">
        <w:lastRenderedPageBreak/>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reducing age-0 and age-1 Largemouth Bass densities in small impoundments</w:t>
      </w:r>
      <w:r w:rsidR="00731659">
        <w:t xml:space="preserve"> (≤11 ha)</w:t>
      </w:r>
      <w:r w:rsidRPr="00DF0FB8">
        <w:t>, (2) investigate 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77777777"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 xml:space="preserve">We used 15 small impoundments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Small impoundments were chosen to be treated with rotenone or not treated based on private owner and Auburn University requests, such that some people did not want rotenone to be applied in specific areas due to potential negative effects on the surrounding ecosystem. We sampled impoundments during spring 2017 through spring 2019 for this study; we sampled using electrofishing each spring and applied rotenone treatments and seined in the summers of 2017 and 2018, which we refer to as “treatment periods” (Table 1). We included seven impoundments (i.e., four controls/three treatments) in the first treatment period, with six of those (i.e., three controls/three treatments) being included again in the second treatment period. We added eight </w:t>
      </w:r>
      <w:r w:rsidRPr="00DF0FB8">
        <w:lastRenderedPageBreak/>
        <w:t>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77777777" w:rsidR="00DF0FB8" w:rsidRPr="00DF0FB8" w:rsidRDefault="00DF0FB8" w:rsidP="00DF0FB8">
      <w:pPr>
        <w:tabs>
          <w:tab w:val="left" w:pos="920"/>
        </w:tabs>
        <w:spacing w:line="480" w:lineRule="auto"/>
      </w:pPr>
      <w:r w:rsidRPr="00DF0FB8">
        <w:rPr>
          <w:iCs/>
        </w:rPr>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simultaneously between the subsurface injector and shoreline. We made a single pass around the perimeter of each treatment impoundment, applying 0.5 L rotenone per 90 m of shoreline.</w:t>
      </w:r>
    </w:p>
    <w:p w14:paraId="00B79F69" w14:textId="77777777" w:rsidR="00DF0FB8" w:rsidRPr="00DF0FB8" w:rsidRDefault="00DF0FB8" w:rsidP="00DF0FB8">
      <w:pPr>
        <w:tabs>
          <w:tab w:val="left" w:pos="920"/>
        </w:tabs>
        <w:spacing w:line="480" w:lineRule="auto"/>
        <w:rPr>
          <w:iCs/>
        </w:rPr>
      </w:pPr>
    </w:p>
    <w:p w14:paraId="1F6B4102" w14:textId="765A38DB"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 xml:space="preserve">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w:t>
      </w:r>
      <w:r w:rsidRPr="00DF0FB8">
        <w:lastRenderedPageBreak/>
        <w:t xml:space="preserve">(days 2 and 22) rotenone application, and the fifth sample was a mid-summer follow-up (day 42). On days 1 and 21, we seined treatment impoundments at sunrise (i.e., immediately before rotenone application; see above) and control impoundments immediately after we treated the treatment impoundment (all on the same day). The day after each rotenone application, days 2 and 22, we seined in the treatment and control impoundments at similar times of day as the pre-application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w:t>
      </w:r>
      <w:r w:rsidRPr="00DF0FB8">
        <w:lastRenderedPageBreak/>
        <w:t xml:space="preserve">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w:t>
      </w:r>
      <w:proofErr w:type="gramStart"/>
      <w:r w:rsidRPr="00DF0FB8">
        <w:t>estimate</w:t>
      </w:r>
      <w:proofErr w:type="gramEnd"/>
      <w:r w:rsidRPr="00DF0FB8">
        <w:t xml:space="preserve"> and a consensus age was reached by discussion.</w:t>
      </w:r>
    </w:p>
    <w:p w14:paraId="5AD3D3E5" w14:textId="77777777" w:rsidR="00DF0FB8" w:rsidRPr="00DF0FB8" w:rsidRDefault="00DF0FB8" w:rsidP="00DF0FB8">
      <w:pPr>
        <w:tabs>
          <w:tab w:val="left" w:pos="920"/>
        </w:tabs>
        <w:spacing w:line="480" w:lineRule="auto"/>
      </w:pPr>
    </w:p>
    <w:p w14:paraId="0B74F061" w14:textId="52DDFE48"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small 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sampling distribution. </w:t>
      </w:r>
      <w:r w:rsidR="00731659">
        <w:t>The model included</w:t>
      </w:r>
      <w:r w:rsidRPr="00DF0FB8">
        <w:t xml:space="preserve"> random effects for impoundment x year intercepts and fixed effects of application (first: day-1 vs. day-2, and second: day-21 vs. day-22), treatment (control/treatment), </w:t>
      </w:r>
      <w:proofErr w:type="gramStart"/>
      <w:r w:rsidRPr="00DF0FB8">
        <w:t>time period</w:t>
      </w:r>
      <w:proofErr w:type="gramEnd"/>
      <w:r w:rsidRPr="00DF0FB8">
        <w:t xml:space="preserve"> (before/after treatment), and all interactions. The treatment x time interaction tested whether catches declined significantly more in treatments than controls. </w:t>
      </w:r>
    </w:p>
    <w:p w14:paraId="20367A34" w14:textId="77777777" w:rsidR="00DF0FB8" w:rsidRPr="00DF0FB8" w:rsidRDefault="00DF0FB8" w:rsidP="00DF0FB8">
      <w:pPr>
        <w:tabs>
          <w:tab w:val="left" w:pos="920"/>
        </w:tabs>
        <w:spacing w:line="480" w:lineRule="auto"/>
      </w:pPr>
      <w:r w:rsidRPr="00DF0FB8">
        <w:tab/>
        <w:t xml:space="preserve">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sampling distribution which included random effects for impoundment x year intercepts and fixed effects of treatment, </w:t>
      </w:r>
      <w:proofErr w:type="gramStart"/>
      <w:r w:rsidRPr="00DF0FB8">
        <w:t>time period</w:t>
      </w:r>
      <w:proofErr w:type="gramEnd"/>
      <w:r w:rsidRPr="00DF0FB8">
        <w:t>, and their interaction.</w:t>
      </w:r>
    </w:p>
    <w:p w14:paraId="64FAE2DF" w14:textId="77777777" w:rsidR="00DF0FB8" w:rsidRPr="00DF0FB8" w:rsidRDefault="00DF0FB8" w:rsidP="00DF0FB8">
      <w:pPr>
        <w:tabs>
          <w:tab w:val="left" w:pos="920"/>
        </w:tabs>
        <w:spacing w:line="480" w:lineRule="auto"/>
      </w:pPr>
      <w:r w:rsidRPr="00DF0FB8">
        <w:lastRenderedPageBreak/>
        <w:tab/>
        <w:t xml:space="preserve">We compared Largemouth Bass mean length-at-age (MLA)-0 in the pre-treatment and mid-summer follow-up seine samples using a BACI analysis, estimating initial growth differences between control and treatment small impoundments. We conducted this analysis using a linear mixed-effects model and natural-log-transformed mean total length data for each impoundment each year to meet the assumption of normality. We included independent random effects of impoundment and year intercepts and fixed effects of treatment, </w:t>
      </w:r>
      <w:proofErr w:type="gramStart"/>
      <w:r w:rsidRPr="00DF0FB8">
        <w:t>time period</w:t>
      </w:r>
      <w:proofErr w:type="gramEnd"/>
      <w:r w:rsidRPr="00DF0FB8">
        <w:t xml:space="preserve">, and their interaction. </w:t>
      </w:r>
    </w:p>
    <w:p w14:paraId="07DE77E1" w14:textId="77777777" w:rsidR="00DF0FB8" w:rsidRPr="00DF0FB8" w:rsidRDefault="00DF0FB8" w:rsidP="00DF0FB8">
      <w:pPr>
        <w:tabs>
          <w:tab w:val="left" w:pos="920"/>
        </w:tabs>
        <w:spacing w:line="480" w:lineRule="auto"/>
        <w:rPr>
          <w:iCs/>
        </w:rPr>
      </w:pPr>
    </w:p>
    <w:p w14:paraId="7CA9B7AB" w14:textId="77777777"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via maximum likelihood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77777777"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w:t>
      </w:r>
      <w:r w:rsidRPr="00DF0FB8">
        <w:lastRenderedPageBreak/>
        <w:t xml:space="preserve">on non-target fish for rotenone application (i.e., stock-sized Bluegill) using Bluegill CPUE. For each dependent variable, we fit a linear mixed-effects model via maximum likelihood with an independent random effect of impoundment intercepts—no year effect for the same reason as above—and a fixed effect of rotenone treatment (control, once, or twice) on the natural logarithm of CPUE. </w:t>
      </w:r>
    </w:p>
    <w:p w14:paraId="6ADE09A8" w14:textId="77777777" w:rsidR="00DF0FB8" w:rsidRPr="00DF0FB8" w:rsidRDefault="00DF0FB8" w:rsidP="00DF0FB8">
      <w:pPr>
        <w:tabs>
          <w:tab w:val="left" w:pos="920"/>
        </w:tabs>
        <w:spacing w:line="480" w:lineRule="auto"/>
      </w:pPr>
      <w:r w:rsidRPr="00DF0FB8">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via maximum likelihood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049C365D" w:rsidR="00DF0FB8" w:rsidRPr="00DF0FB8" w:rsidRDefault="00DF0FB8" w:rsidP="00DF0FB8">
      <w:pPr>
        <w:tabs>
          <w:tab w:val="left" w:pos="920"/>
        </w:tabs>
        <w:spacing w:line="480" w:lineRule="auto"/>
      </w:pPr>
      <w:r w:rsidRPr="00DF0FB8">
        <w:tab/>
        <w:t xml:space="preserve">The treatment x </w:t>
      </w:r>
      <w:proofErr w:type="gramStart"/>
      <w:r w:rsidRPr="00DF0FB8">
        <w:t>time period</w:t>
      </w:r>
      <w:proofErr w:type="gramEnd"/>
      <w:r w:rsidRPr="00DF0FB8">
        <w:t xml:space="preserve">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 xml:space="preserve">=0.38, p=0.57; Figure 2). In other words, regardless of application (day 1 or 21), the same immediate treatment effect was observed. Small impoundments treated with rotenone experienced an additional 96% (89–99%; </w:t>
      </w:r>
      <w:r w:rsidRPr="00DF0FB8">
        <w:lastRenderedPageBreak/>
        <w:t>95% CI) reduction in Largemouth Bass seine catches the day following application (i.e., day 1/21 to day 2/22) compared to control impoundments (F</w:t>
      </w:r>
      <w:r w:rsidRPr="00DF0FB8">
        <w:softHyphen/>
      </w:r>
      <w:r w:rsidRPr="00DF0FB8">
        <w:rPr>
          <w:vertAlign w:val="subscript"/>
        </w:rPr>
        <w:t>1,61</w:t>
      </w:r>
      <w:r w:rsidRPr="00DF0FB8">
        <w:t>=44.57, p&lt;0.001; Figure 2). Bluegill seine catches were also unrelated to application and its associated interactions (F</w:t>
      </w:r>
      <w:r w:rsidRPr="00DF0FB8">
        <w:softHyphen/>
      </w:r>
      <w:r w:rsidRPr="00DF0FB8">
        <w:rPr>
          <w:vertAlign w:val="subscript"/>
        </w:rPr>
        <w:t>1,57</w:t>
      </w:r>
      <w:r w:rsidRPr="00DF0FB8">
        <w:t xml:space="preserve">=0.50, p=0.48). We observed a statistically significant treatment x </w:t>
      </w:r>
      <w:proofErr w:type="gramStart"/>
      <w:r w:rsidRPr="00DF0FB8">
        <w:t>time period</w:t>
      </w:r>
      <w:proofErr w:type="gramEnd"/>
      <w:r w:rsidRPr="00DF0FB8">
        <w:t xml:space="preserve"> interaction (F</w:t>
      </w:r>
      <w:r w:rsidRPr="00DF0FB8">
        <w:rPr>
          <w:vertAlign w:val="subscript"/>
        </w:rPr>
        <w:t>1,61</w:t>
      </w:r>
      <w:r w:rsidRPr="00DF0FB8">
        <w:t xml:space="preserve">=7.48, p=0.0070) where treatments experienced an additional 62% (23–81%; 95% CI) reduction in Bluegill seine catches the day after rotenone applications compared with controls (Figure 2). </w:t>
      </w:r>
    </w:p>
    <w:p w14:paraId="78E90F4F" w14:textId="77777777"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 xml:space="preserve">=5.69; p=0.24) seine catches were not significantly different initially in treatment and control small impoundments (Figure 3). When observing day-1 compared to the mid-summer follow-up (i.e., day-42) Largemouth Bass seine catches, we found the treatment x </w:t>
      </w:r>
      <w:proofErr w:type="gramStart"/>
      <w:r w:rsidRPr="00DF0FB8">
        <w:t>time period</w:t>
      </w:r>
      <w:proofErr w:type="gramEnd"/>
      <w:r w:rsidRPr="00DF0FB8">
        <w:t xml:space="preserve"> interaction was statistically significant (F</w:t>
      </w:r>
      <w:r w:rsidRPr="00DF0FB8">
        <w:rPr>
          <w:vertAlign w:val="subscript"/>
        </w:rPr>
        <w:t>1,19</w:t>
      </w:r>
      <w:r w:rsidRPr="00DF0FB8">
        <w:t xml:space="preserve">=6.73; p=0.017) and represented an additional 86% (38–97%; 95% CI) post-treatment decrease in treatment impoundments compared to controls (Figure 3).  However, for Bluegill seine catches, the treatment x </w:t>
      </w:r>
      <w:proofErr w:type="gramStart"/>
      <w:r w:rsidRPr="00DF0FB8">
        <w:t>time period</w:t>
      </w:r>
      <w:proofErr w:type="gramEnd"/>
      <w:r w:rsidRPr="00DF0FB8">
        <w:t xml:space="preserve">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77777777" w:rsidR="00DF0FB8" w:rsidRPr="00DF0FB8" w:rsidRDefault="00DF0FB8" w:rsidP="00DF0FB8">
      <w:pPr>
        <w:tabs>
          <w:tab w:val="left" w:pos="920"/>
        </w:tabs>
        <w:spacing w:line="480" w:lineRule="auto"/>
      </w:pPr>
      <w:r w:rsidRPr="00DF0FB8">
        <w:tab/>
        <w:t>In treatment small 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treatments and controls (F</w:t>
      </w:r>
      <w:r w:rsidRPr="00DF0FB8">
        <w:rPr>
          <w:vertAlign w:val="subscript"/>
        </w:rPr>
        <w:t>1,19</w:t>
      </w:r>
      <w:r w:rsidRPr="00DF0FB8">
        <w:t xml:space="preserve">=0.025; p=0.94). The treatment x </w:t>
      </w:r>
      <w:proofErr w:type="gramStart"/>
      <w:r w:rsidRPr="00DF0FB8">
        <w:t>time period</w:t>
      </w:r>
      <w:proofErr w:type="gramEnd"/>
      <w:r w:rsidRPr="00DF0FB8">
        <w:t xml:space="preserve">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06402748" w:rsidR="00DF0FB8" w:rsidRPr="00DF0FB8" w:rsidRDefault="00DF0FB8" w:rsidP="00DF0FB8">
      <w:pPr>
        <w:tabs>
          <w:tab w:val="left" w:pos="920"/>
        </w:tabs>
        <w:spacing w:line="480" w:lineRule="auto"/>
        <w:rPr>
          <w:iCs/>
        </w:rPr>
      </w:pPr>
      <w:r w:rsidRPr="00DF0FB8">
        <w:rPr>
          <w:iCs/>
        </w:rPr>
        <w:tab/>
        <w:t>Largemouth Bass MLA-1 in small 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In small impoundments, we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0673612F" w:rsidR="00DF0FB8" w:rsidRPr="00DF0FB8" w:rsidRDefault="00DF0FB8" w:rsidP="00DF0FB8">
      <w:pPr>
        <w:tabs>
          <w:tab w:val="left" w:pos="920"/>
        </w:tabs>
        <w:spacing w:line="480" w:lineRule="auto"/>
        <w:rPr>
          <w:iCs/>
        </w:rPr>
      </w:pPr>
      <w:r w:rsidRPr="00DF0FB8">
        <w:rPr>
          <w:iCs/>
        </w:rPr>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 xml:space="preserve">(Ludsin and </w:t>
      </w:r>
      <w:r w:rsidRPr="00DF0FB8">
        <w:rPr>
          <w:iCs/>
        </w:rPr>
        <w:lastRenderedPageBreak/>
        <w:t>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small impoundments significantly declined 24 hours after rotenone applications, whereas catches in control small 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small 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18F6961B"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xml:space="preserve">. When Bluegill fry move from pelagic to littoral </w:t>
      </w:r>
      <w:r w:rsidRPr="00DF0FB8">
        <w:rPr>
          <w:iCs/>
        </w:rPr>
        <w:lastRenderedPageBreak/>
        <w:t>areas, they become more vulnerable to shoreline rotenone application. However, adult Bluegill can spawn multiple times throughout the summer, and fry transition from pelagic to littoral 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5C6A9933" w14:textId="10398205"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 small impoundments—regardless of being treated once or twice—</w:t>
      </w:r>
      <w:proofErr w:type="gramStart"/>
      <w:r w:rsidRPr="00DF0FB8">
        <w:rPr>
          <w:iCs/>
        </w:rPr>
        <w:t>similar to</w:t>
      </w:r>
      <w:proofErr w:type="gramEnd"/>
      <w:r w:rsidRPr="00DF0FB8">
        <w:rPr>
          <w:iCs/>
        </w:rPr>
        <w:t xml:space="preserve">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U.S.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w:t>
      </w:r>
      <w:r w:rsidRPr="00DF0FB8">
        <w:rPr>
          <w:iCs/>
        </w:rPr>
        <w:lastRenderedPageBreak/>
        <w:t xml:space="preserve">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variation from spring 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r w:rsidRPr="00DF0FB8">
        <w:rPr>
          <w:i/>
        </w:rPr>
        <w:t>Ambloplites rupestris</w:t>
      </w:r>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masking treatment effects. Alternatively, perhaps density-dependent growth 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77777777"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w:t>
      </w:r>
      <w:r w:rsidRPr="00DF0FB8">
        <w:rPr>
          <w:iCs/>
        </w:rPr>
        <w:lastRenderedPageBreak/>
        <w:t xml:space="preserve">mid-summer seine catches—Largemouth Bass prey availability should be plentiful. Age-1 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r w:rsidRPr="00DF0FB8">
        <w:rPr>
          <w:i/>
        </w:rPr>
        <w:t>Ctenopharyngodon idella</w:t>
      </w:r>
      <w:r w:rsidRPr="00DF0FB8">
        <w:rPr>
          <w:iCs/>
        </w:rPr>
        <w:t xml:space="preserve">) were killed during the shoreline rotenone treatment. In the present study, we observed various numbers of larger Bluegill and Largemouth Bass mortality events (i.e., from none to nearly 200) along the shoreline of our treatment small 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harvestable size. </w:t>
      </w:r>
    </w:p>
    <w:p w14:paraId="78E6894C" w14:textId="2E737417" w:rsidR="00DF0FB8" w:rsidRPr="00DF0FB8" w:rsidRDefault="00DF0FB8" w:rsidP="00DF0FB8">
      <w:pPr>
        <w:tabs>
          <w:tab w:val="left" w:pos="920"/>
        </w:tabs>
        <w:spacing w:line="480" w:lineRule="auto"/>
        <w:rPr>
          <w:iCs/>
        </w:rPr>
      </w:pPr>
      <w:r w:rsidRPr="00DF0FB8">
        <w:rPr>
          <w:iCs/>
        </w:rPr>
        <w:tab/>
        <w:t xml:space="preserve">Further research is additionally needed to assess differences more definitively in growth responses as a function of impoundment size following rotenone treatment. We used similarly constructed small impoundments ≤11 ha; however, larger small impoundments tend to 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small 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t xml:space="preserve">[A]Management Implications </w:t>
      </w:r>
    </w:p>
    <w:p w14:paraId="5B113054" w14:textId="0C18FF0F"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impacting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would be to assess the effects of this shoreline rotenone application on non-target species population parameters (e.g., age-2+ Largemouth Bass growth, condition, and diets, and stock-size Bluegill condition) and in larger sized small impoundments (30–200 ha).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5DB9BF04"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w:t>
      </w:r>
      <w:r w:rsidRPr="00DF0FB8">
        <w:lastRenderedPageBreak/>
        <w:t xml:space="preserve">Henry Hershey, Mae Aida, Garret </w:t>
      </w:r>
      <w:proofErr w:type="spellStart"/>
      <w:r w:rsidRPr="00DF0FB8">
        <w:t>Kratina</w:t>
      </w:r>
      <w:proofErr w:type="spellEnd"/>
      <w:r w:rsidRPr="00DF0FB8">
        <w:t xml:space="preserve">, Taylor Beaman, Lindsay M. Horne, Byron Daniel 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fldChar w:fldCharType="begin"/>
      </w:r>
      <w:r>
        <w:instrText xml:space="preserve"> ADDIN ZOTERO_BIBL {"uncited":[],"omitted":[],"custom":[]} CSL_BIBLIOGRAPHY </w:instrText>
      </w:r>
      <w:r>
        <w:fldChar w:fldCharType="separate"/>
      </w:r>
      <w:proofErr w:type="spellStart"/>
      <w:r w:rsidR="00816EBC" w:rsidRPr="00816EBC">
        <w:t>Aday</w:t>
      </w:r>
      <w:proofErr w:type="spellEnd"/>
      <w:r w:rsidR="00816EBC" w:rsidRPr="00816EBC">
        <w:t xml:space="preserve">, D. D., and B. D. S. </w:t>
      </w:r>
      <w:proofErr w:type="spellStart"/>
      <w:r w:rsidR="00816EBC" w:rsidRPr="00816EBC">
        <w:t>Graeb</w:t>
      </w:r>
      <w:proofErr w:type="spellEnd"/>
      <w:r w:rsidR="00816EBC" w:rsidRPr="00816EBC">
        <w:t xml:space="preserve">.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proofErr w:type="spellStart"/>
      <w:r w:rsidRPr="00816EBC">
        <w:t>Aggus</w:t>
      </w:r>
      <w:proofErr w:type="spellEnd"/>
      <w:r w:rsidRPr="00816EBC">
        <w:t xml:space="preserve">, L. R., and G. V. Elliott. 1975. Effects of cover and food on year-class strength of Largemouth Bass. Pages 317–322 </w:t>
      </w:r>
      <w:r w:rsidRPr="00816EBC">
        <w:rPr>
          <w:i/>
          <w:iCs/>
        </w:rPr>
        <w:t>in</w:t>
      </w:r>
      <w:r w:rsidRPr="00816EBC">
        <w:t xml:space="preserve"> R. H. Stroud and H. </w:t>
      </w:r>
      <w:proofErr w:type="spellStart"/>
      <w:r w:rsidRPr="00816EBC">
        <w:t>Clepper</w:t>
      </w:r>
      <w:proofErr w:type="spellEnd"/>
      <w:r w:rsidRPr="00816EBC">
        <w:t>,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lastRenderedPageBreak/>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proofErr w:type="spellStart"/>
      <w:r w:rsidRPr="00816EBC">
        <w:t>Bonvechio</w:t>
      </w:r>
      <w:proofErr w:type="spellEnd"/>
      <w:r w:rsidRPr="00816EBC">
        <w:t xml:space="preserve">, T. F., B. R. Bowen, J. M. </w:t>
      </w:r>
      <w:proofErr w:type="spellStart"/>
      <w:r w:rsidRPr="00816EBC">
        <w:t>Wixson</w:t>
      </w:r>
      <w:proofErr w:type="spellEnd"/>
      <w:r w:rsidRPr="00816EBC">
        <w:t>,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proofErr w:type="spellStart"/>
      <w:r w:rsidRPr="00816EBC">
        <w:t>Cargnelli</w:t>
      </w:r>
      <w:proofErr w:type="spellEnd"/>
      <w:r w:rsidRPr="00816EBC">
        <w:t xml:space="preserve">,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 xml:space="preserve">Carlson, A. J., and D. A. </w:t>
      </w:r>
      <w:proofErr w:type="spellStart"/>
      <w:r w:rsidRPr="00816EBC">
        <w:t>Isermann</w:t>
      </w:r>
      <w:proofErr w:type="spellEnd"/>
      <w:r w:rsidRPr="00816EBC">
        <w:t>.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 xml:space="preserve">Chaney, P. L., C. E. Boyd, and E. </w:t>
      </w:r>
      <w:proofErr w:type="spellStart"/>
      <w:r w:rsidRPr="00816EBC">
        <w:t>Polioudakis</w:t>
      </w:r>
      <w:proofErr w:type="spellEnd"/>
      <w:r w:rsidRPr="00816EBC">
        <w:t>.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w:t>
      </w:r>
      <w:proofErr w:type="spellStart"/>
      <w:r w:rsidRPr="00816EBC">
        <w:t>Lacepede</w:t>
      </w:r>
      <w:proofErr w:type="spellEnd"/>
      <w:r w:rsidRPr="00816EBC">
        <w:t xml:space="preserve">, 1802). Pages 27–34 </w:t>
      </w:r>
      <w:r w:rsidRPr="00816EBC">
        <w:rPr>
          <w:i/>
          <w:iCs/>
        </w:rPr>
        <w:t>in</w:t>
      </w:r>
      <w:r w:rsidRPr="00816EBC">
        <w:t xml:space="preserve"> M. D. </w:t>
      </w:r>
      <w:proofErr w:type="spellStart"/>
      <w:r w:rsidRPr="00816EBC">
        <w:t>Tringali</w:t>
      </w:r>
      <w:proofErr w:type="spellEnd"/>
      <w:r w:rsidRPr="00816EBC">
        <w:t>,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proofErr w:type="spellStart"/>
      <w:r w:rsidRPr="00816EBC">
        <w:t>Dauwalter</w:t>
      </w:r>
      <w:proofErr w:type="spellEnd"/>
      <w:r w:rsidRPr="00816EBC">
        <w:t>,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 xml:space="preserve">Davies, W. D., W. L. Shelton, and S. P. </w:t>
      </w:r>
      <w:proofErr w:type="spellStart"/>
      <w:r w:rsidRPr="00816EBC">
        <w:t>Malvestuto</w:t>
      </w:r>
      <w:proofErr w:type="spellEnd"/>
      <w:r w:rsidRPr="00816EBC">
        <w:t>. 1982. Prey-dependent recruitment of Largemouth Bass: a conceptual model. Fisheries 7(6):12–15.</w:t>
      </w:r>
    </w:p>
    <w:p w14:paraId="7ED02E68" w14:textId="77777777" w:rsidR="00816EBC" w:rsidRPr="00816EBC" w:rsidRDefault="00816EBC" w:rsidP="00816EBC">
      <w:pPr>
        <w:pStyle w:val="Bibliography"/>
      </w:pPr>
      <w:proofErr w:type="spellStart"/>
      <w:r w:rsidRPr="00816EBC">
        <w:t>Dembkowski</w:t>
      </w:r>
      <w:proofErr w:type="spellEnd"/>
      <w:r w:rsidRPr="00816EBC">
        <w:t xml:space="preserve">, D. J., J. A. Kerns1, E. G. Easterly, and D. A. </w:t>
      </w:r>
      <w:proofErr w:type="spellStart"/>
      <w:r w:rsidRPr="00816EBC">
        <w:t>Isermann</w:t>
      </w:r>
      <w:proofErr w:type="spellEnd"/>
      <w:r w:rsidRPr="00816EBC">
        <w:t>.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w:t>
      </w:r>
      <w:proofErr w:type="spellStart"/>
      <w:r w:rsidRPr="00816EBC">
        <w:t>Frie</w:t>
      </w:r>
      <w:proofErr w:type="spellEnd"/>
      <w:r w:rsidRPr="00816EBC">
        <w:t xml:space="preserv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 xml:space="preserve">Finlayson, B. J., R. A. </w:t>
      </w:r>
      <w:proofErr w:type="spellStart"/>
      <w:r w:rsidRPr="00816EBC">
        <w:t>Schnick</w:t>
      </w:r>
      <w:proofErr w:type="spellEnd"/>
      <w:r w:rsidRPr="00816EBC">
        <w:t xml:space="preserve">, R. L. </w:t>
      </w:r>
      <w:proofErr w:type="spellStart"/>
      <w:r w:rsidRPr="00816EBC">
        <w:t>Cailteux</w:t>
      </w:r>
      <w:proofErr w:type="spellEnd"/>
      <w:r w:rsidRPr="00816EBC">
        <w:t xml:space="preserve">, L. </w:t>
      </w:r>
      <w:proofErr w:type="spellStart"/>
      <w:r w:rsidRPr="00816EBC">
        <w:t>DeMong</w:t>
      </w:r>
      <w:proofErr w:type="spellEnd"/>
      <w:r w:rsidRPr="00816EBC">
        <w:t xml:space="preserve">, W. D. Horton, W. McClay, C. W. Thompson, and G. J. </w:t>
      </w:r>
      <w:proofErr w:type="spellStart"/>
      <w:r w:rsidRPr="00816EBC">
        <w:t>Tichacek</w:t>
      </w:r>
      <w:proofErr w:type="spellEnd"/>
      <w:r w:rsidRPr="00816EBC">
        <w:t>, editors. 2000. Rotenone use in fisheries management. American Fisheries Society, Bethesda, Maryland.</w:t>
      </w:r>
    </w:p>
    <w:p w14:paraId="1111DDFF" w14:textId="77777777" w:rsidR="00816EBC" w:rsidRPr="00816EBC" w:rsidRDefault="00816EBC" w:rsidP="00816EBC">
      <w:pPr>
        <w:pStyle w:val="Bibliography"/>
      </w:pPr>
      <w:r w:rsidRPr="00816EBC">
        <w:t>Funk, J. L. 1974. Symposium on overharvest and management of Largemouth Bass in small impoundments. American Fisheries Society, North Central Division, Special Publication 3, Bethesda, Maryland.</w:t>
      </w:r>
    </w:p>
    <w:p w14:paraId="757E3116" w14:textId="77777777" w:rsidR="00816EBC" w:rsidRPr="00816EBC" w:rsidRDefault="00816EBC" w:rsidP="00816EBC">
      <w:pPr>
        <w:pStyle w:val="Bibliography"/>
      </w:pPr>
      <w:proofErr w:type="spellStart"/>
      <w:r w:rsidRPr="00816EBC">
        <w:t>Gabelhouse</w:t>
      </w:r>
      <w:proofErr w:type="spellEnd"/>
      <w:r w:rsidRPr="00816EBC">
        <w:t>,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w:t>
      </w:r>
      <w:proofErr w:type="spellStart"/>
      <w:r w:rsidRPr="00816EBC">
        <w:t>Bremigan</w:t>
      </w:r>
      <w:proofErr w:type="spellEnd"/>
      <w:r w:rsidRPr="00816EBC">
        <w:t xml:space="preserve">. 2002. Exploring ecological mechanisms underlying Largemouth Bass recruitment along environmental gradients. Pages 7–23 </w:t>
      </w:r>
      <w:r w:rsidRPr="00816EBC">
        <w:rPr>
          <w:i/>
          <w:iCs/>
        </w:rPr>
        <w:t>in</w:t>
      </w:r>
      <w:r w:rsidRPr="00816EBC">
        <w:t xml:space="preserve"> </w:t>
      </w:r>
      <w:r w:rsidRPr="00816EBC">
        <w:lastRenderedPageBreak/>
        <w:t>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proofErr w:type="spellStart"/>
      <w:r w:rsidRPr="00816EBC">
        <w:t>Geihsler</w:t>
      </w:r>
      <w:proofErr w:type="spellEnd"/>
      <w:r w:rsidRPr="00816EBC">
        <w:t>,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proofErr w:type="spellStart"/>
      <w:r w:rsidRPr="00816EBC">
        <w:t>Hangsleben</w:t>
      </w:r>
      <w:proofErr w:type="spellEnd"/>
      <w:r w:rsidRPr="00816EBC">
        <w:t>,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proofErr w:type="spellStart"/>
      <w:r w:rsidRPr="00816EBC">
        <w:t>Laarman</w:t>
      </w:r>
      <w:proofErr w:type="spellEnd"/>
      <w:r w:rsidRPr="00816EBC">
        <w:t>,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proofErr w:type="spellStart"/>
      <w:r w:rsidRPr="00816EBC">
        <w:t>Ludsin</w:t>
      </w:r>
      <w:proofErr w:type="spellEnd"/>
      <w:r w:rsidRPr="00816EBC">
        <w:t>,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lastRenderedPageBreak/>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 xml:space="preserve">Renwick, W. H., S. V. Smith, J. D. Bartley, and R. W. </w:t>
      </w:r>
      <w:proofErr w:type="spellStart"/>
      <w:r w:rsidRPr="00816EBC">
        <w:t>Buddemeier</w:t>
      </w:r>
      <w:proofErr w:type="spellEnd"/>
      <w:r w:rsidRPr="00816EBC">
        <w:t>.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 xml:space="preserve">Rose, K. A., J. H. Cowan, K. O. </w:t>
      </w:r>
      <w:proofErr w:type="spellStart"/>
      <w:r w:rsidRPr="00816EBC">
        <w:t>Winemiller</w:t>
      </w:r>
      <w:proofErr w:type="spellEnd"/>
      <w:r w:rsidRPr="00816EBC">
        <w:t xml:space="preserve">, R. A. Myers, and R. </w:t>
      </w:r>
      <w:proofErr w:type="spellStart"/>
      <w:r w:rsidRPr="00816EBC">
        <w:t>Hilborn</w:t>
      </w:r>
      <w:proofErr w:type="spellEnd"/>
      <w:r w:rsidRPr="00816EBC">
        <w:t>.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 xml:space="preserve">Sammons, S. M., and P. W. </w:t>
      </w:r>
      <w:proofErr w:type="spellStart"/>
      <w:r w:rsidRPr="00816EBC">
        <w:t>Bettoli</w:t>
      </w:r>
      <w:proofErr w:type="spellEnd"/>
      <w:r w:rsidRPr="00816EBC">
        <w:t>.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w:t>
      </w:r>
      <w:proofErr w:type="spellStart"/>
      <w:r w:rsidRPr="00816EBC">
        <w:t>Maceina</w:t>
      </w:r>
      <w:proofErr w:type="spellEnd"/>
      <w:r w:rsidRPr="00816EBC">
        <w:t xml:space="preserve">.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 xml:space="preserve">Shelton, W. L., W. D. Davies, T. A. King, and T. J. Timmons. 1979. Variation in the growth of the initial year class of Largemouth Bass in West Point Reservoir, </w:t>
      </w:r>
      <w:proofErr w:type="gramStart"/>
      <w:r w:rsidRPr="00816EBC">
        <w:t>Alabama</w:t>
      </w:r>
      <w:proofErr w:type="gramEnd"/>
      <w:r w:rsidRPr="00816EBC">
        <w:t xml:space="preserve"> and Georgia. Transactions of the American Fisheries Society 108(2):142–149.</w:t>
      </w:r>
    </w:p>
    <w:p w14:paraId="76581AB4" w14:textId="77777777" w:rsidR="00816EBC" w:rsidRPr="00816EBC" w:rsidRDefault="00816EBC" w:rsidP="00816EBC">
      <w:pPr>
        <w:pStyle w:val="Bibliography"/>
      </w:pPr>
      <w:proofErr w:type="spellStart"/>
      <w:r w:rsidRPr="00816EBC">
        <w:t>Shoup</w:t>
      </w:r>
      <w:proofErr w:type="spellEnd"/>
      <w:r w:rsidRPr="00816EBC">
        <w:t xml:space="preserve">, D. E., and C. R. </w:t>
      </w:r>
      <w:proofErr w:type="spellStart"/>
      <w:r w:rsidRPr="00816EBC">
        <w:t>Broderius</w:t>
      </w:r>
      <w:proofErr w:type="spellEnd"/>
      <w:r w:rsidRPr="00816EBC">
        <w:t>.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w:t>
      </w:r>
      <w:proofErr w:type="spellStart"/>
      <w:r w:rsidRPr="00816EBC">
        <w:t>Clepper</w:t>
      </w:r>
      <w:proofErr w:type="spellEnd"/>
      <w:r w:rsidRPr="00816EBC">
        <w:t>,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lastRenderedPageBreak/>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w:t>
      </w:r>
      <w:proofErr w:type="spellStart"/>
      <w:r w:rsidRPr="00816EBC">
        <w:t>Slipke</w:t>
      </w:r>
      <w:proofErr w:type="spellEnd"/>
      <w:r w:rsidRPr="00816EBC">
        <w:t xml:space="preserv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proofErr w:type="spellStart"/>
      <w:r w:rsidRPr="00816EBC">
        <w:t>Zweiacker</w:t>
      </w:r>
      <w:proofErr w:type="spellEnd"/>
      <w:r w:rsidRPr="00816EBC">
        <w:t xml:space="preserve">, P. L., and R. C. </w:t>
      </w:r>
      <w:proofErr w:type="spellStart"/>
      <w:r w:rsidRPr="00816EBC">
        <w:t>Summerfelt</w:t>
      </w:r>
      <w:proofErr w:type="spellEnd"/>
      <w:r w:rsidRPr="00816EBC">
        <w:t xml:space="preserve">. 1974. Seasonal variation in food and diet periodicity in feeding of northern Largemouth Bass, </w:t>
      </w:r>
      <w:r w:rsidRPr="00816EBC">
        <w:rPr>
          <w:i/>
          <w:iCs/>
        </w:rPr>
        <w:t>Micropterus salmoides</w:t>
      </w:r>
      <w:r w:rsidRPr="00816EBC">
        <w:t xml:space="preserve"> (</w:t>
      </w:r>
      <w:proofErr w:type="spellStart"/>
      <w:r w:rsidRPr="00816EBC">
        <w:t>Lacepede</w:t>
      </w:r>
      <w:proofErr w:type="spellEnd"/>
      <w:r w:rsidRPr="00816EBC">
        <w:t>)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9ECE9" w14:textId="77777777" w:rsidR="00F5300C" w:rsidRDefault="00F5300C" w:rsidP="005723B5">
      <w:r>
        <w:separator/>
      </w:r>
    </w:p>
  </w:endnote>
  <w:endnote w:type="continuationSeparator" w:id="0">
    <w:p w14:paraId="135F1573" w14:textId="77777777" w:rsidR="00F5300C" w:rsidRDefault="00F5300C"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30916" w14:textId="77777777" w:rsidR="00F5300C" w:rsidRDefault="00F5300C" w:rsidP="005723B5">
      <w:r>
        <w:separator/>
      </w:r>
    </w:p>
  </w:footnote>
  <w:footnote w:type="continuationSeparator" w:id="0">
    <w:p w14:paraId="0D9CDFD0" w14:textId="77777777" w:rsidR="00F5300C" w:rsidRDefault="00F5300C"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F42BC"/>
    <w:rsid w:val="004056EA"/>
    <w:rsid w:val="00430425"/>
    <w:rsid w:val="004554A6"/>
    <w:rsid w:val="004675B4"/>
    <w:rsid w:val="00475A6C"/>
    <w:rsid w:val="00476B28"/>
    <w:rsid w:val="00482A13"/>
    <w:rsid w:val="00492FCA"/>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661C"/>
    <w:rsid w:val="00601D21"/>
    <w:rsid w:val="006028B5"/>
    <w:rsid w:val="00613DCD"/>
    <w:rsid w:val="00636208"/>
    <w:rsid w:val="0063769F"/>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1659"/>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F66"/>
    <w:rsid w:val="009E535B"/>
    <w:rsid w:val="009F5898"/>
    <w:rsid w:val="009F7966"/>
    <w:rsid w:val="00A01C57"/>
    <w:rsid w:val="00A043D3"/>
    <w:rsid w:val="00A13272"/>
    <w:rsid w:val="00A145E7"/>
    <w:rsid w:val="00A16D35"/>
    <w:rsid w:val="00A2252E"/>
    <w:rsid w:val="00A33777"/>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33C82"/>
    <w:rsid w:val="00C3791F"/>
    <w:rsid w:val="00C45251"/>
    <w:rsid w:val="00C45555"/>
    <w:rsid w:val="00C77A17"/>
    <w:rsid w:val="00CA0CF6"/>
    <w:rsid w:val="00CA54D6"/>
    <w:rsid w:val="00CC359F"/>
    <w:rsid w:val="00CC5F9D"/>
    <w:rsid w:val="00CD1DCA"/>
    <w:rsid w:val="00CD774F"/>
    <w:rsid w:val="00D13690"/>
    <w:rsid w:val="00D13845"/>
    <w:rsid w:val="00D32286"/>
    <w:rsid w:val="00D32FB9"/>
    <w:rsid w:val="00D344E3"/>
    <w:rsid w:val="00D555F8"/>
    <w:rsid w:val="00D57C58"/>
    <w:rsid w:val="00D57C59"/>
    <w:rsid w:val="00D608C0"/>
    <w:rsid w:val="00D63D0F"/>
    <w:rsid w:val="00D72313"/>
    <w:rsid w:val="00D83BDE"/>
    <w:rsid w:val="00DA3DEF"/>
    <w:rsid w:val="00DA62E1"/>
    <w:rsid w:val="00DA7260"/>
    <w:rsid w:val="00DC0A15"/>
    <w:rsid w:val="00DC1FB6"/>
    <w:rsid w:val="00DC69CD"/>
    <w:rsid w:val="00DD1DA0"/>
    <w:rsid w:val="00DD58E0"/>
    <w:rsid w:val="00DF0FB8"/>
    <w:rsid w:val="00E00B2A"/>
    <w:rsid w:val="00E1215A"/>
    <w:rsid w:val="00E1759E"/>
    <w:rsid w:val="00E236C8"/>
    <w:rsid w:val="00E47E2E"/>
    <w:rsid w:val="00E50556"/>
    <w:rsid w:val="00E737FF"/>
    <w:rsid w:val="00E73F3A"/>
    <w:rsid w:val="00E74B2A"/>
    <w:rsid w:val="00E927F2"/>
    <w:rsid w:val="00E9284B"/>
    <w:rsid w:val="00E9285E"/>
    <w:rsid w:val="00E95A22"/>
    <w:rsid w:val="00EA5F30"/>
    <w:rsid w:val="00EC5590"/>
    <w:rsid w:val="00ED50FE"/>
    <w:rsid w:val="00EF191B"/>
    <w:rsid w:val="00EF3F5E"/>
    <w:rsid w:val="00EF6EF8"/>
    <w:rsid w:val="00F034C9"/>
    <w:rsid w:val="00F10D67"/>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3989</TotalTime>
  <Pages>22</Pages>
  <Words>24217</Words>
  <Characters>138042</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69</cp:revision>
  <cp:lastPrinted>2023-01-18T18:49:00Z</cp:lastPrinted>
  <dcterms:created xsi:type="dcterms:W3CDTF">2021-09-27T12:56:00Z</dcterms:created>
  <dcterms:modified xsi:type="dcterms:W3CDTF">2023-06-16T19:11:00Z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