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 xml:space="preserve">Micropterus </w:t>
      </w:r>
      <w:proofErr w:type="spellStart"/>
      <w:r w:rsidRPr="00DF0FB8">
        <w:rPr>
          <w:i/>
        </w:rPr>
        <w:t>salmoides</w:t>
      </w:r>
      <w:proofErr w:type="spellEnd"/>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3C33F1CE"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r w:rsidR="0021676E">
        <w:t xml:space="preserve">removal via </w:t>
      </w:r>
      <w:r w:rsidRPr="00DF0FB8">
        <w:t xml:space="preserve">fall electrofishing to reduce bass densities in two 24–28 ha impoundments, which led to increased Largemouth Bass growth and improved Bluegill size structure and crappie </w:t>
      </w:r>
      <w:proofErr w:type="spellStart"/>
      <w:r w:rsidRPr="00DF0FB8">
        <w:rPr>
          <w:i/>
          <w:iCs/>
        </w:rPr>
        <w:t>Pomoxis</w:t>
      </w:r>
      <w:proofErr w:type="spellEnd"/>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w:t>
      </w:r>
      <w:r w:rsidRPr="00DF0FB8">
        <w:lastRenderedPageBreak/>
        <w:t>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545ED351"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r w:rsidR="00D618EE">
        <w:t xml:space="preserve"> (hereafter referred to as impoundments)</w:t>
      </w:r>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r w:rsidR="00D618EE">
        <w:t>I</w:t>
      </w:r>
      <w:r w:rsidRPr="00DF0FB8">
        <w:t>mpoundments were chosen to be treated with rotenone or not treated based on private owner and Auburn University requests, such that some people did not want rotenone to be applied in specific areas due to potential effects on the surrounding ecosystem. We sampled impoundments during spring 2017 through spring 2019 for this study</w:t>
      </w:r>
      <w:r w:rsidR="00C27897">
        <w:t xml:space="preserve"> by</w:t>
      </w:r>
      <w:r w:rsidRPr="00DF0FB8">
        <w:t xml:space="preserve"> </w:t>
      </w:r>
      <w:r w:rsidR="00C27897">
        <w:t>(1)</w:t>
      </w:r>
      <w:r w:rsidRPr="00DF0FB8">
        <w:t xml:space="preserve"> electrofishing each spring</w:t>
      </w:r>
      <w:r w:rsidR="00C27897">
        <w:t>,</w:t>
      </w:r>
      <w:r w:rsidRPr="00DF0FB8">
        <w:t xml:space="preserve"> and </w:t>
      </w:r>
      <w:r w:rsidR="00C27897">
        <w:t xml:space="preserve">(2) </w:t>
      </w:r>
      <w:r w:rsidRPr="00DF0FB8">
        <w:t>appl</w:t>
      </w:r>
      <w:r w:rsidR="00C27897">
        <w:t>ying</w:t>
      </w:r>
      <w:r w:rsidRPr="00DF0FB8">
        <w:t xml:space="preserve"> rotenone</w:t>
      </w:r>
      <w:r w:rsidR="00C27897">
        <w:t xml:space="preserve"> </w:t>
      </w:r>
      <w:r w:rsidR="00E57A75">
        <w:t>(</w:t>
      </w:r>
      <w:r w:rsidR="00C27897">
        <w:t>if selected</w:t>
      </w:r>
      <w:r w:rsidR="00E57A75">
        <w:t>)</w:t>
      </w:r>
      <w:r w:rsidRPr="00DF0FB8">
        <w:t xml:space="preserve"> and sein</w:t>
      </w:r>
      <w:r w:rsidR="00C27897">
        <w:t>ing</w:t>
      </w:r>
      <w:r w:rsidRPr="00DF0FB8">
        <w:t xml:space="preserve"> in the summers of 2017 and 2018</w:t>
      </w:r>
      <w:r w:rsidR="00C27897">
        <w:t>—</w:t>
      </w:r>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r w:rsidR="006B6816" w:rsidRPr="006B6816">
        <w:t xml:space="preserve"> </w:t>
      </w:r>
      <w:r w:rsidR="00302FEA">
        <w:t>We</w:t>
      </w:r>
      <w:r w:rsidR="006B6816">
        <w:t xml:space="preserve"> </w:t>
      </w:r>
      <w:r w:rsidR="00302FEA">
        <w:t>used</w:t>
      </w:r>
      <w:r w:rsidR="00302FEA" w:rsidRPr="00302FEA">
        <w:t xml:space="preserve"> </w:t>
      </w:r>
      <w:r w:rsidR="00302FEA">
        <w:t>injector and spray wand pressure, water volume in the treatment area around the perimeter of the shoreline, and boat application speed</w:t>
      </w:r>
      <w:r w:rsidR="006B6816">
        <w:t xml:space="preserve"> </w:t>
      </w:r>
      <w:r w:rsidR="00302FEA">
        <w:t>to calculate</w:t>
      </w:r>
      <w:r w:rsidR="006B6816">
        <w:t xml:space="preserve"> </w:t>
      </w:r>
      <w:r w:rsidR="00302FEA">
        <w:t xml:space="preserve">the amount of rotenone-water mixture needed so that </w:t>
      </w:r>
      <w:r w:rsidR="006B6816">
        <w:t>each tank would</w:t>
      </w:r>
      <w:r w:rsidR="00302FEA">
        <w:t xml:space="preserve"> empty after a single pass</w:t>
      </w:r>
      <w:r w:rsidR="006B6816">
        <w:t>.</w:t>
      </w:r>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proofErr w:type="spellStart"/>
      <w:r w:rsidR="009D3B78">
        <w:t>Prenfish</w:t>
      </w:r>
      <w:proofErr w:type="spellEnd"/>
      <w:r w:rsidR="009D3B78">
        <w:t xml:space="preserve"> Fish Toxicant (0.025 L </w:t>
      </w:r>
      <w:r w:rsidRPr="00DF0FB8">
        <w:t>rotenone</w:t>
      </w:r>
      <w:r w:rsidR="009D3B78">
        <w:t>)</w:t>
      </w:r>
      <w:r w:rsidRPr="00DF0FB8">
        <w:t xml:space="preserve"> per 90 m of shoreline.</w:t>
      </w:r>
      <w:r w:rsidR="009D3B78">
        <w:t xml:space="preserve"> </w:t>
      </w:r>
    </w:p>
    <w:p w14:paraId="00B79F69" w14:textId="77777777" w:rsidR="00DF0FB8" w:rsidRPr="00DF0FB8" w:rsidRDefault="00DF0FB8" w:rsidP="00DF0FB8">
      <w:pPr>
        <w:tabs>
          <w:tab w:val="left" w:pos="920"/>
        </w:tabs>
        <w:spacing w:line="480" w:lineRule="auto"/>
        <w:rPr>
          <w:iCs/>
        </w:rPr>
      </w:pPr>
    </w:p>
    <w:p w14:paraId="1F6B4102" w14:textId="0D88420D"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w:t>
      </w:r>
      <w:r w:rsidRPr="00DF0FB8">
        <w:lastRenderedPageBreak/>
        <w:t>rotenone application; see above) and control impoundments immediately after we treated the treatment impoundment (all on the same day). The day after each rotenone application</w:t>
      </w:r>
      <w:r w:rsidR="006E055C">
        <w:t xml:space="preserve"> (</w:t>
      </w:r>
      <w:r w:rsidRPr="00DF0FB8">
        <w:t>days 2 and 22</w:t>
      </w:r>
      <w:r w:rsidR="006E055C">
        <w:t>)</w:t>
      </w:r>
      <w:r w:rsidRPr="00DF0FB8">
        <w:t xml:space="preserve">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w:t>
      </w:r>
      <w:r w:rsidRPr="00DF0FB8">
        <w:lastRenderedPageBreak/>
        <w:t>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12A9F496"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w:t>
      </w:r>
      <w:r w:rsidR="006E055C">
        <w:t>noise</w:t>
      </w:r>
      <w:r w:rsidRPr="00DF0FB8">
        <w:t xml:space="preserve">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1A645934"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w:t>
      </w:r>
      <w:r w:rsidR="006E055C">
        <w:t>noise</w:t>
      </w:r>
      <w:r w:rsidRPr="00DF0FB8">
        <w:t xml:space="preserve"> distribution which included random effects for impoundment x year intercepts and fixed effects of treatment, time period, and their interaction.</w:t>
      </w:r>
    </w:p>
    <w:p w14:paraId="64FAE2DF" w14:textId="3739AB9D"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w:t>
      </w:r>
      <w:r w:rsidRPr="00DF0FB8">
        <w:lastRenderedPageBreak/>
        <w:t xml:space="preserve">differences between control and treatment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30A8DC7A"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0FBF7D3F"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with an independent random effect </w:t>
      </w:r>
      <w:r w:rsidRPr="00DF0FB8">
        <w:lastRenderedPageBreak/>
        <w:t xml:space="preserve">of impoundment intercepts—no year effect for the same reason as above—and a fixed effect of rotenone treatment (control, once, or twice) on the natural logarithm of CPUE. </w:t>
      </w:r>
    </w:p>
    <w:p w14:paraId="6ADE09A8" w14:textId="3BA58E9A"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22256EC2"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r w:rsidR="008524F1" w:rsidRPr="00DF0FB8">
        <w:t>Bluegill seine catches were also unrelated to application and its associated interactions (F</w:t>
      </w:r>
      <w:r w:rsidR="008524F1" w:rsidRPr="00DF0FB8">
        <w:softHyphen/>
      </w:r>
      <w:r w:rsidR="008524F1" w:rsidRPr="00DF0FB8">
        <w:rPr>
          <w:vertAlign w:val="subscript"/>
        </w:rPr>
        <w:t>1,57</w:t>
      </w:r>
      <w:r w:rsidR="008524F1" w:rsidRPr="00DF0FB8">
        <w:t>=0.50, p=0.48).</w:t>
      </w:r>
      <w:r w:rsidR="008524F1">
        <w:t xml:space="preserve"> However, we did find that </w:t>
      </w:r>
      <w:r w:rsidRPr="00DF0FB8">
        <w:t xml:space="preserve">impoundments treated with rotenone experienced an additional 96% (89–99%; 95% CI) </w:t>
      </w:r>
      <w:r w:rsidR="008524F1">
        <w:t xml:space="preserve">and </w:t>
      </w:r>
      <w:r w:rsidR="008524F1" w:rsidRPr="00DF0FB8">
        <w:t xml:space="preserve">62% (23–81%; 95% CI) </w:t>
      </w:r>
      <w:r w:rsidRPr="00DF0FB8">
        <w:t xml:space="preserve">reduction in Largemouth Bass </w:t>
      </w:r>
      <w:r w:rsidR="008524F1">
        <w:t xml:space="preserve">and Bluegill </w:t>
      </w:r>
      <w:r w:rsidRPr="00DF0FB8">
        <w:t>seine catches</w:t>
      </w:r>
      <w:r w:rsidR="008524F1">
        <w:t>, respectively,</w:t>
      </w:r>
      <w:r w:rsidRPr="00DF0FB8">
        <w:t xml:space="preserve"> the day following application (i.e., </w:t>
      </w:r>
      <w:r w:rsidRPr="00DF0FB8">
        <w:lastRenderedPageBreak/>
        <w:t>day 1/21 to day 2/22) compared to control impoundments (F</w:t>
      </w:r>
      <w:r w:rsidRPr="00DF0FB8">
        <w:softHyphen/>
      </w:r>
      <w:r w:rsidRPr="00DF0FB8">
        <w:rPr>
          <w:vertAlign w:val="subscript"/>
        </w:rPr>
        <w:t>1,61</w:t>
      </w:r>
      <w:r w:rsidRPr="00DF0FB8">
        <w:t xml:space="preserve">=44.57, p&lt;0.001; </w:t>
      </w:r>
      <w:r w:rsidR="008524F1" w:rsidRPr="00DF0FB8">
        <w:t>F</w:t>
      </w:r>
      <w:r w:rsidR="008524F1" w:rsidRPr="00DF0FB8">
        <w:rPr>
          <w:vertAlign w:val="subscript"/>
        </w:rPr>
        <w:t>1,61</w:t>
      </w:r>
      <w:r w:rsidR="008524F1" w:rsidRPr="00DF0FB8">
        <w:t>=7.48, p=0.0070</w:t>
      </w:r>
      <w:r w:rsidR="008524F1">
        <w:t xml:space="preserve">; </w:t>
      </w:r>
      <w:r w:rsidRPr="00DF0FB8">
        <w:t xml:space="preserve">Figure 2). </w:t>
      </w:r>
    </w:p>
    <w:p w14:paraId="78E90F4F" w14:textId="587CB520"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=5.69; p=0.24) seine catches were not significantly different initially in treatment and control 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07A5B8C" w:rsidR="00DF0FB8" w:rsidRPr="00DF0FB8" w:rsidRDefault="00DF0FB8" w:rsidP="00DF0FB8">
      <w:pPr>
        <w:tabs>
          <w:tab w:val="left" w:pos="920"/>
        </w:tabs>
        <w:spacing w:line="480" w:lineRule="auto"/>
      </w:pPr>
      <w:r w:rsidRPr="00DF0FB8">
        <w:tab/>
        <w:t>In treatment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17101705" w:rsidR="00DF0FB8" w:rsidRPr="00DF0FB8" w:rsidRDefault="00DF0FB8" w:rsidP="00DF0FB8">
      <w:pPr>
        <w:tabs>
          <w:tab w:val="left" w:pos="920"/>
        </w:tabs>
        <w:spacing w:line="480" w:lineRule="auto"/>
        <w:rPr>
          <w:iCs/>
        </w:rPr>
      </w:pPr>
      <w:r w:rsidRPr="00DF0FB8">
        <w:rPr>
          <w:iCs/>
        </w:rPr>
        <w:lastRenderedPageBreak/>
        <w:tab/>
        <w:t>Largemouth Bass MLA-1 in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r w:rsidR="00467185">
        <w:rPr>
          <w:iCs/>
        </w:rPr>
        <w:t>W</w:t>
      </w:r>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102B8113"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impoundments significantly declined 24 hours after rotenone applications, whereas catches in control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r w:rsidR="00EF4887">
        <w:rPr>
          <w:iCs/>
        </w:rPr>
        <w:t xml:space="preserve"> our</w:t>
      </w:r>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w:t>
      </w:r>
      <w:r w:rsidRPr="00DF0FB8">
        <w:rPr>
          <w:iCs/>
        </w:rPr>
        <w:lastRenderedPageBreak/>
        <w:t xml:space="preserve">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proofErr w:type="spellStart"/>
      <w:r w:rsidRPr="00DF0FB8">
        <w:rPr>
          <w:i/>
        </w:rPr>
        <w:t>Ambloplites</w:t>
      </w:r>
      <w:proofErr w:type="spellEnd"/>
      <w:r w:rsidRPr="00DF0FB8">
        <w:rPr>
          <w:i/>
        </w:rPr>
        <w:t xml:space="preserve"> </w:t>
      </w:r>
      <w:proofErr w:type="spellStart"/>
      <w:r w:rsidRPr="00DF0FB8">
        <w:rPr>
          <w:i/>
        </w:rPr>
        <w:t>rupestris</w:t>
      </w:r>
      <w:proofErr w:type="spellEnd"/>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BE72E3E"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proofErr w:type="spellStart"/>
      <w:r w:rsidRPr="00DF0FB8">
        <w:rPr>
          <w:i/>
        </w:rPr>
        <w:t>Ctenopharyngodon</w:t>
      </w:r>
      <w:proofErr w:type="spellEnd"/>
      <w:r w:rsidRPr="00DF0FB8">
        <w:rPr>
          <w:i/>
        </w:rPr>
        <w:t xml:space="preserve"> </w:t>
      </w:r>
      <w:proofErr w:type="spellStart"/>
      <w:r w:rsidRPr="00DF0FB8">
        <w:rPr>
          <w:i/>
        </w:rPr>
        <w:t>idella</w:t>
      </w:r>
      <w:proofErr w:type="spellEnd"/>
      <w:r w:rsidRPr="00DF0FB8">
        <w:rPr>
          <w:iCs/>
        </w:rPr>
        <w:t xml:space="preserve">) were killed during the shoreline rotenone treatment. In the present study, we observed various numbers of larger Bluegill and Largemouth Bass mortality events (i.e., from none to nearly 200) along the shoreline of our treatment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38B2183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4D53766A"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w:t>
      </w:r>
      <w:r w:rsidR="006E055C">
        <w:t>—</w:t>
      </w:r>
      <w:r w:rsidRPr="00DF0FB8">
        <w:t>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673818E" w:rsidR="001117F0" w:rsidRPr="001117F0" w:rsidRDefault="001117F0" w:rsidP="001117F0">
      <w:pPr>
        <w:spacing w:line="480" w:lineRule="auto"/>
      </w:pPr>
      <w:r w:rsidRPr="001117F0">
        <w:t xml:space="preserve">Data supporting the findings of this study are openly available in GitHub: </w:t>
      </w:r>
      <w:r w:rsidR="00A34537" w:rsidRPr="00A34537">
        <w:t>https://github.com/tscoleman3/rotenone_small_impoundments_target</w:t>
      </w:r>
      <w:r w:rsidRPr="001117F0">
        <w:t xml:space="preserve">. Please contact </w:t>
      </w:r>
      <w:r w:rsidR="00A34537">
        <w:t>Tyler Steven Coleman</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30A1" w14:textId="77777777" w:rsidR="009B77BB" w:rsidRDefault="009B77BB" w:rsidP="005723B5">
      <w:r>
        <w:separator/>
      </w:r>
    </w:p>
  </w:endnote>
  <w:endnote w:type="continuationSeparator" w:id="0">
    <w:p w14:paraId="0295CF2E" w14:textId="77777777" w:rsidR="009B77BB" w:rsidRDefault="009B77BB"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650B" w14:textId="77777777" w:rsidR="009B77BB" w:rsidRDefault="009B77BB" w:rsidP="005723B5">
      <w:r>
        <w:separator/>
      </w:r>
    </w:p>
  </w:footnote>
  <w:footnote w:type="continuationSeparator" w:id="0">
    <w:p w14:paraId="3230EEB8" w14:textId="77777777" w:rsidR="009B77BB" w:rsidRDefault="009B77BB"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1B16"/>
    <w:rsid w:val="002A67BB"/>
    <w:rsid w:val="002B49F5"/>
    <w:rsid w:val="002C5D8E"/>
    <w:rsid w:val="002E58E9"/>
    <w:rsid w:val="00302FEA"/>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238CA"/>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055C"/>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B77BB"/>
    <w:rsid w:val="009D3B78"/>
    <w:rsid w:val="009D3F66"/>
    <w:rsid w:val="009E535B"/>
    <w:rsid w:val="009F5898"/>
    <w:rsid w:val="009F7966"/>
    <w:rsid w:val="00A01C57"/>
    <w:rsid w:val="00A043D3"/>
    <w:rsid w:val="00A13272"/>
    <w:rsid w:val="00A145E7"/>
    <w:rsid w:val="00A16D35"/>
    <w:rsid w:val="00A2252E"/>
    <w:rsid w:val="00A33777"/>
    <w:rsid w:val="00A34537"/>
    <w:rsid w:val="00A34F83"/>
    <w:rsid w:val="00A37777"/>
    <w:rsid w:val="00A436D0"/>
    <w:rsid w:val="00A72B55"/>
    <w:rsid w:val="00A824FF"/>
    <w:rsid w:val="00A8459C"/>
    <w:rsid w:val="00A86275"/>
    <w:rsid w:val="00A95EB2"/>
    <w:rsid w:val="00AA1F14"/>
    <w:rsid w:val="00AA7149"/>
    <w:rsid w:val="00AB6606"/>
    <w:rsid w:val="00AC3F06"/>
    <w:rsid w:val="00AE07B1"/>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3A6"/>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097"/>
    <w:rsid w:val="00EF3F5E"/>
    <w:rsid w:val="00EF4887"/>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A18B-3DEB-EA43-86BA-F77040F8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24167</Words>
  <Characters>137758</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4</cp:revision>
  <cp:lastPrinted>2023-01-18T18:49:00Z</cp:lastPrinted>
  <dcterms:created xsi:type="dcterms:W3CDTF">2023-08-22T17:16:00Z</dcterms:created>
  <dcterms:modified xsi:type="dcterms:W3CDTF">2023-08-23T19:50:00Z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