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Micropterus salmoides</w:t>
      </w:r>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declined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67F97C18" w:rsidR="00DF0FB8" w:rsidRPr="00DF0FB8" w:rsidRDefault="00DF0FB8" w:rsidP="00DF0FB8">
      <w:pPr>
        <w:tabs>
          <w:tab w:val="left" w:pos="920"/>
        </w:tabs>
        <w:spacing w:line="480" w:lineRule="auto"/>
      </w:pPr>
      <w:r w:rsidRPr="00DF0FB8">
        <w:tab/>
        <w:t xml:space="preserve">Largemouth Bass </w:t>
      </w:r>
      <w:r w:rsidRPr="00DF0FB8">
        <w:rPr>
          <w:i/>
        </w:rPr>
        <w:t xml:space="preserve">Micropterus </w:t>
      </w:r>
      <w:proofErr w:type="spellStart"/>
      <w:r w:rsidRPr="00DF0FB8">
        <w:rPr>
          <w:i/>
        </w:rPr>
        <w:t>salmoides</w:t>
      </w:r>
      <w:proofErr w:type="spellEnd"/>
      <w:r w:rsidRPr="00DF0FB8">
        <w:rPr>
          <w:i/>
        </w:rPr>
        <w:t xml:space="preserve">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w:t>
      </w:r>
      <w:ins w:id="0" w:author="Reviewer" w:date="2023-08-21T09:54:00Z">
        <w:r w:rsidR="00373DC0">
          <w:t>Additionally, b</w:t>
        </w:r>
        <w:r w:rsidR="00373DC0" w:rsidRPr="00DF0FB8">
          <w:t>oth Largemouth Bass and Bluegill are widespread</w:t>
        </w:r>
        <w:r w:rsidR="00373DC0">
          <w:t xml:space="preserve"> and</w:t>
        </w:r>
        <w:r w:rsidR="00373DC0" w:rsidRPr="00DF0FB8">
          <w:t xml:space="preserve"> popular sport fishes </w:t>
        </w:r>
        <w:r w:rsidR="00373DC0" w:rsidRPr="00DF0FB8">
          <w:fldChar w:fldCharType="begin"/>
        </w:r>
        <w:r w:rsidR="00373DC0"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00373DC0" w:rsidRPr="00DF0FB8">
          <w:fldChar w:fldCharType="separate"/>
        </w:r>
        <w:r w:rsidR="00373DC0" w:rsidRPr="00DF0FB8">
          <w:t>(Wright and Kraft 2012)</w:t>
        </w:r>
        <w:r w:rsidR="00373DC0" w:rsidRPr="00DF0FB8">
          <w:fldChar w:fldCharType="end"/>
        </w:r>
        <w:r w:rsidR="00373DC0" w:rsidRPr="00DF0FB8">
          <w:t xml:space="preserve">. </w:t>
        </w:r>
      </w:ins>
      <w:r w:rsidRPr="00DF0FB8">
        <w:t xml:space="preserve">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xml:space="preserve">, attracting nearly 9.6 million anglers in 2016 (USDOI 2018). </w:t>
      </w:r>
      <w:del w:id="1" w:author="Reviewer" w:date="2023-08-21T09:53:00Z">
        <w:r w:rsidRPr="00DF0FB8" w:rsidDel="00373DC0">
          <w:delText>Both Largemouth Bass and Bluegill are widespread</w:delText>
        </w:r>
        <w:r w:rsidR="00731659" w:rsidDel="00373DC0">
          <w:delText xml:space="preserve"> and</w:delText>
        </w:r>
        <w:r w:rsidRPr="00DF0FB8" w:rsidDel="00373DC0">
          <w:delText xml:space="preserve"> popular sport fishes </w:delText>
        </w:r>
        <w:r w:rsidRPr="00DF0FB8" w:rsidDel="00373DC0">
          <w:fldChar w:fldCharType="begin"/>
        </w:r>
        <w:r w:rsidRPr="00DF0FB8" w:rsidDel="00373DC0">
          <w:del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delInstrText>
        </w:r>
        <w:r w:rsidRPr="00DF0FB8" w:rsidDel="00373DC0">
          <w:fldChar w:fldCharType="separate"/>
        </w:r>
        <w:r w:rsidRPr="00DF0FB8" w:rsidDel="00373DC0">
          <w:delText>(Wright and Kraft 2012)</w:delText>
        </w:r>
        <w:r w:rsidRPr="00DF0FB8" w:rsidDel="00373DC0">
          <w:fldChar w:fldCharType="end"/>
        </w:r>
        <w:r w:rsidRPr="00DF0FB8" w:rsidDel="00373DC0">
          <w:delText xml:space="preserve">. </w:delText>
        </w:r>
      </w:del>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w:t>
      </w:r>
      <w:r w:rsidRPr="00DF0FB8">
        <w:lastRenderedPageBreak/>
        <w:t xml:space="preserve">sizes of both Largemouth Bass and Bluegill. Fish density is typically the object of manipulation 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w:t>
      </w:r>
      <w:r w:rsidRPr="00DF0FB8">
        <w:lastRenderedPageBreak/>
        <w:t xml:space="preserve">maintain balanced populations of Largemouth Bass and Bluegill in small impoundments include 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6D8C80B"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w:t>
      </w:r>
      <w:ins w:id="2" w:author="Reviewer" w:date="2023-08-21T12:12:00Z">
        <w:r w:rsidR="0021676E">
          <w:t xml:space="preserve">removal via </w:t>
        </w:r>
      </w:ins>
      <w:r w:rsidRPr="00DF0FB8">
        <w:t xml:space="preserve">fall electrofishing to reduce bass densities in two 24–28 ha impoundments, which led to increased Largemouth Bass growth and improved Bluegill size structure and crappie </w:t>
      </w:r>
      <w:r w:rsidRPr="00DF0FB8">
        <w:rPr>
          <w:i/>
          <w:iCs/>
        </w:rPr>
        <w:t>Pomoxis</w:t>
      </w:r>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xml:space="preserve">,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w:t>
      </w:r>
      <w:r w:rsidRPr="00DF0FB8">
        <w:lastRenderedPageBreak/>
        <w:t>reducing age-0 and age-1 Largemouth Bass densities in small impoundments</w:t>
      </w:r>
      <w:r w:rsidR="00731659">
        <w:t xml:space="preserve"> (≤11 ha)</w:t>
      </w:r>
      <w:r w:rsidRPr="00DF0FB8">
        <w:t>, (2) investigate 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D70065F"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w:t>
      </w:r>
      <w:ins w:id="3" w:author="Reviewer" w:date="2023-08-21T10:05:00Z">
        <w:r w:rsidR="00D618EE">
          <w:t xml:space="preserve"> (hereafter referred to as impoundments)</w:t>
        </w:r>
      </w:ins>
      <w:r w:rsidRPr="00DF0FB8">
        <w:t xml:space="preserve">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w:t>
      </w:r>
      <w:ins w:id="4" w:author="Reviewer" w:date="2023-08-21T10:07:00Z">
        <w:r w:rsidR="00D618EE">
          <w:t>I</w:t>
        </w:r>
      </w:ins>
      <w:del w:id="5" w:author="Reviewer" w:date="2023-08-21T10:07:00Z">
        <w:r w:rsidRPr="00DF0FB8" w:rsidDel="00D618EE">
          <w:delText>Small i</w:delText>
        </w:r>
      </w:del>
      <w:r w:rsidRPr="00DF0FB8">
        <w:t xml:space="preserve">mpoundments were chosen to be treated with rotenone or not treated based on private owner and Auburn University requests, such that some people did not want rotenone to be applied in specific areas due to potential </w:t>
      </w:r>
      <w:del w:id="6" w:author="Reviewer" w:date="2023-08-21T12:22:00Z">
        <w:r w:rsidRPr="00DF0FB8" w:rsidDel="00C27897">
          <w:delText xml:space="preserve">negative </w:delText>
        </w:r>
      </w:del>
      <w:r w:rsidRPr="00DF0FB8">
        <w:t>effects on the surrounding ecosystem. We sampled impoundments during spring 2017 through spring 2019 for this study</w:t>
      </w:r>
      <w:ins w:id="7" w:author="Reviewer" w:date="2023-08-21T12:20:00Z">
        <w:r w:rsidR="00C27897">
          <w:t xml:space="preserve"> by</w:t>
        </w:r>
      </w:ins>
      <w:del w:id="8" w:author="Reviewer" w:date="2023-08-21T12:20:00Z">
        <w:r w:rsidRPr="00DF0FB8" w:rsidDel="00C27897">
          <w:delText>;</w:delText>
        </w:r>
      </w:del>
      <w:r w:rsidRPr="00DF0FB8">
        <w:t xml:space="preserve"> </w:t>
      </w:r>
      <w:ins w:id="9" w:author="Reviewer" w:date="2023-08-21T12:20:00Z">
        <w:r w:rsidR="00C27897">
          <w:t>(1)</w:t>
        </w:r>
      </w:ins>
      <w:del w:id="10" w:author="Reviewer" w:date="2023-08-21T12:20:00Z">
        <w:r w:rsidRPr="00DF0FB8" w:rsidDel="00C27897">
          <w:delText>we sampled using</w:delText>
        </w:r>
      </w:del>
      <w:r w:rsidRPr="00DF0FB8">
        <w:t xml:space="preserve"> electrofishing each spring</w:t>
      </w:r>
      <w:ins w:id="11" w:author="Reviewer" w:date="2023-08-21T12:21:00Z">
        <w:r w:rsidR="00C27897">
          <w:t>,</w:t>
        </w:r>
      </w:ins>
      <w:r w:rsidRPr="00DF0FB8">
        <w:t xml:space="preserve"> and </w:t>
      </w:r>
      <w:ins w:id="12" w:author="Reviewer" w:date="2023-08-21T12:21:00Z">
        <w:r w:rsidR="00C27897">
          <w:t xml:space="preserve">(2) </w:t>
        </w:r>
      </w:ins>
      <w:r w:rsidRPr="00DF0FB8">
        <w:t>appl</w:t>
      </w:r>
      <w:ins w:id="13" w:author="Reviewer" w:date="2023-08-21T12:21:00Z">
        <w:r w:rsidR="00C27897">
          <w:t>ying</w:t>
        </w:r>
      </w:ins>
      <w:del w:id="14" w:author="Reviewer" w:date="2023-08-21T12:21:00Z">
        <w:r w:rsidRPr="00DF0FB8" w:rsidDel="00C27897">
          <w:delText>ied</w:delText>
        </w:r>
      </w:del>
      <w:r w:rsidRPr="00DF0FB8">
        <w:t xml:space="preserve"> rotenone</w:t>
      </w:r>
      <w:ins w:id="15" w:author="Reviewer" w:date="2023-08-21T12:23:00Z">
        <w:r w:rsidR="00C27897">
          <w:t xml:space="preserve"> </w:t>
        </w:r>
      </w:ins>
      <w:ins w:id="16" w:author="Reviewer" w:date="2023-08-21T12:42:00Z">
        <w:r w:rsidR="00E57A75">
          <w:t>(</w:t>
        </w:r>
      </w:ins>
      <w:ins w:id="17" w:author="Reviewer" w:date="2023-08-21T12:23:00Z">
        <w:r w:rsidR="00C27897">
          <w:t>if selected</w:t>
        </w:r>
      </w:ins>
      <w:ins w:id="18" w:author="Reviewer" w:date="2023-08-21T12:42:00Z">
        <w:r w:rsidR="00E57A75">
          <w:t>)</w:t>
        </w:r>
      </w:ins>
      <w:r w:rsidRPr="00DF0FB8">
        <w:t xml:space="preserve"> </w:t>
      </w:r>
      <w:del w:id="19" w:author="Reviewer" w:date="2023-08-21T12:21:00Z">
        <w:r w:rsidRPr="00DF0FB8" w:rsidDel="00C27897">
          <w:delText xml:space="preserve">treatments </w:delText>
        </w:r>
      </w:del>
      <w:r w:rsidRPr="00DF0FB8">
        <w:t>and sein</w:t>
      </w:r>
      <w:del w:id="20" w:author="Reviewer" w:date="2023-08-21T12:21:00Z">
        <w:r w:rsidRPr="00DF0FB8" w:rsidDel="00C27897">
          <w:delText>e</w:delText>
        </w:r>
      </w:del>
      <w:ins w:id="21" w:author="Reviewer" w:date="2023-08-21T12:21:00Z">
        <w:r w:rsidR="00C27897">
          <w:t>ing</w:t>
        </w:r>
      </w:ins>
      <w:del w:id="22" w:author="Reviewer" w:date="2023-08-21T12:21:00Z">
        <w:r w:rsidRPr="00DF0FB8" w:rsidDel="00C27897">
          <w:delText>d</w:delText>
        </w:r>
      </w:del>
      <w:r w:rsidRPr="00DF0FB8">
        <w:t xml:space="preserve"> in the summers of 2017 and 2018</w:t>
      </w:r>
      <w:ins w:id="23" w:author="Reviewer" w:date="2023-08-21T12:21:00Z">
        <w:r w:rsidR="00C27897">
          <w:t>—</w:t>
        </w:r>
      </w:ins>
      <w:del w:id="24" w:author="Reviewer" w:date="2023-08-21T12:21:00Z">
        <w:r w:rsidRPr="00DF0FB8" w:rsidDel="00C27897">
          <w:delText xml:space="preserve">, </w:delText>
        </w:r>
      </w:del>
      <w:r w:rsidRPr="00DF0FB8">
        <w:t>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77777777" w:rsidR="00DF0FB8" w:rsidRPr="00DF0FB8" w:rsidRDefault="00DF0FB8" w:rsidP="00DF0FB8">
      <w:pPr>
        <w:tabs>
          <w:tab w:val="left" w:pos="920"/>
        </w:tabs>
        <w:spacing w:line="480" w:lineRule="auto"/>
      </w:pPr>
      <w:r w:rsidRPr="00DF0FB8">
        <w:rPr>
          <w:iCs/>
        </w:rPr>
        <w:lastRenderedPageBreak/>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simultaneously between the subsurface injector and shoreline. We made a single pass around the perimeter of each treatment impoundment, applying 0.5 L rotenone per 90 m of shoreline.</w:t>
      </w:r>
    </w:p>
    <w:p w14:paraId="00B79F69" w14:textId="77777777" w:rsidR="00DF0FB8" w:rsidRPr="00DF0FB8" w:rsidRDefault="00DF0FB8" w:rsidP="00DF0FB8">
      <w:pPr>
        <w:tabs>
          <w:tab w:val="left" w:pos="920"/>
        </w:tabs>
        <w:spacing w:line="480" w:lineRule="auto"/>
        <w:rPr>
          <w:iCs/>
        </w:rPr>
      </w:pPr>
    </w:p>
    <w:p w14:paraId="1F6B4102" w14:textId="765A38DB"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(days 2 and 22) rotenone application, and the fifth sample was a mid-summer follow-up (day 42). On days 1 and 21, we seined treatment impoundments at sunrise (i.e., immediately before rotenone application; see above) and control impoundments immediately after we treated the </w:t>
      </w:r>
      <w:r w:rsidRPr="00DF0FB8">
        <w:lastRenderedPageBreak/>
        <w:t xml:space="preserve">treatment impoundment (all on the same day). The day after each rotenone application, days 2 and 22,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w:t>
      </w:r>
      <w:r w:rsidRPr="00DF0FB8">
        <w:lastRenderedPageBreak/>
        <w:t>individual fish, a third independent reader provided an estimate and a consensus age was reached by discussion.</w:t>
      </w:r>
    </w:p>
    <w:p w14:paraId="5AD3D3E5" w14:textId="77777777" w:rsidR="00DF0FB8" w:rsidRPr="00DF0FB8" w:rsidRDefault="00DF0FB8" w:rsidP="00DF0FB8">
      <w:pPr>
        <w:tabs>
          <w:tab w:val="left" w:pos="920"/>
        </w:tabs>
        <w:spacing w:line="480" w:lineRule="auto"/>
      </w:pPr>
    </w:p>
    <w:p w14:paraId="0B74F061" w14:textId="7FF1BFC1"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w:t>
      </w:r>
      <w:del w:id="25" w:author="Reviewer" w:date="2023-08-21T11:35:00Z">
        <w:r w:rsidRPr="00DF0FB8" w:rsidDel="00467185">
          <w:delText xml:space="preserve">small </w:delText>
        </w:r>
      </w:del>
      <w:r w:rsidRPr="00DF0FB8">
        <w:t xml:space="preserve">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w:t>
      </w:r>
      <w:r w:rsidR="00731659">
        <w:t>The model included</w:t>
      </w:r>
      <w:r w:rsidRPr="00DF0FB8">
        <w:t xml:space="preserve"> random effects for impoundment x year intercepts and fixed effects of application (first: day-1 vs. day-2, and second: day-21 vs. day-22), treatment (control/treatment), time period (before/after treatment), and all interactions. The treatment x time interaction tested whether catches declined significantly more in treatments than controls. </w:t>
      </w:r>
    </w:p>
    <w:p w14:paraId="20367A34" w14:textId="77777777" w:rsidR="00DF0FB8" w:rsidRPr="00DF0FB8" w:rsidRDefault="00DF0FB8" w:rsidP="00DF0FB8">
      <w:pPr>
        <w:tabs>
          <w:tab w:val="left" w:pos="920"/>
        </w:tabs>
        <w:spacing w:line="480" w:lineRule="auto"/>
      </w:pPr>
      <w:r w:rsidRPr="00DF0FB8">
        <w:tab/>
        <w:t>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sampling distribution which included random effects for impoundment x year intercepts and fixed effects of treatment, time period, and their interaction.</w:t>
      </w:r>
    </w:p>
    <w:p w14:paraId="64FAE2DF" w14:textId="3FABBDF9" w:rsidR="00DF0FB8" w:rsidRPr="00DF0FB8" w:rsidRDefault="00DF0FB8" w:rsidP="00DF0FB8">
      <w:pPr>
        <w:tabs>
          <w:tab w:val="left" w:pos="920"/>
        </w:tabs>
        <w:spacing w:line="480" w:lineRule="auto"/>
      </w:pPr>
      <w:r w:rsidRPr="00DF0FB8">
        <w:tab/>
        <w:t xml:space="preserve">We compared Largemouth Bass mean length-at-age (MLA)-0 in the pre-treatment and mid-summer follow-up seine samples using a BACI analysis, estimating initial growth differences between control and treatment </w:t>
      </w:r>
      <w:del w:id="26" w:author="Reviewer" w:date="2023-08-21T11:36:00Z">
        <w:r w:rsidRPr="00DF0FB8" w:rsidDel="00467185">
          <w:delText xml:space="preserve">small </w:delText>
        </w:r>
      </w:del>
      <w:r w:rsidRPr="00DF0FB8">
        <w:t xml:space="preserve">impoundments. We conducted this analysis </w:t>
      </w:r>
      <w:r w:rsidRPr="00DF0FB8">
        <w:lastRenderedPageBreak/>
        <w:t xml:space="preserve">using a linear mixed-effects model and natural-log-transformed mean total length data for each impoundment each year to meet the assumption of normality. We included independent random effects of impoundment and year intercepts and fixed effects of treatment, time period, and their interaction. </w:t>
      </w:r>
    </w:p>
    <w:p w14:paraId="07DE77E1" w14:textId="77777777" w:rsidR="00DF0FB8" w:rsidRPr="00DF0FB8" w:rsidRDefault="00DF0FB8" w:rsidP="00DF0FB8">
      <w:pPr>
        <w:tabs>
          <w:tab w:val="left" w:pos="920"/>
        </w:tabs>
        <w:spacing w:line="480" w:lineRule="auto"/>
        <w:rPr>
          <w:iCs/>
        </w:rPr>
      </w:pPr>
    </w:p>
    <w:p w14:paraId="7CA9B7AB" w14:textId="77777777"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7777777"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on non-target fish for rotenone application (i.e., stock-sized Bluegill) using Bluegill CPUE. For each dependent variable, we fit a linear mixed-effects model via maximum likelihood with an independent random effect of impoundment intercepts—no year effect for the same reason as </w:t>
      </w:r>
      <w:r w:rsidRPr="00DF0FB8">
        <w:lastRenderedPageBreak/>
        <w:t xml:space="preserve">above—and a fixed effect of rotenone treatment (control, once, or twice) on the natural logarithm of CPUE. </w:t>
      </w:r>
    </w:p>
    <w:p w14:paraId="6ADE09A8" w14:textId="77777777" w:rsidR="00DF0FB8" w:rsidRPr="00DF0FB8" w:rsidRDefault="00DF0FB8" w:rsidP="00DF0FB8">
      <w:pPr>
        <w:tabs>
          <w:tab w:val="left" w:pos="920"/>
        </w:tabs>
        <w:spacing w:line="480" w:lineRule="auto"/>
      </w:pPr>
      <w:r w:rsidRPr="00DF0FB8">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via maximum likelihood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19D7BB64" w:rsidR="00DF0FB8" w:rsidRPr="00DF0FB8" w:rsidRDefault="00DF0FB8" w:rsidP="00DF0FB8">
      <w:pPr>
        <w:tabs>
          <w:tab w:val="left" w:pos="920"/>
        </w:tabs>
        <w:spacing w:line="480" w:lineRule="auto"/>
      </w:pPr>
      <w:r w:rsidRPr="00DF0FB8">
        <w:tab/>
        <w:t>The treatment x time period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 xml:space="preserve">=0.38, p=0.57; Figure 2). In other words, regardless of application (day 1 or 21), the same immediate treatment effect was observed. </w:t>
      </w:r>
      <w:moveToRangeStart w:id="27" w:author="Reviewer" w:date="2023-08-21T13:12:00Z" w:name="move143515979"/>
      <w:moveTo w:id="28" w:author="Reviewer" w:date="2023-08-21T13:12:00Z">
        <w:r w:rsidR="008524F1" w:rsidRPr="00DF0FB8">
          <w:t>Bluegill seine catches were also unrelated to application and its associated interactions (F</w:t>
        </w:r>
        <w:r w:rsidR="008524F1" w:rsidRPr="00DF0FB8">
          <w:softHyphen/>
        </w:r>
        <w:r w:rsidR="008524F1" w:rsidRPr="00DF0FB8">
          <w:rPr>
            <w:vertAlign w:val="subscript"/>
          </w:rPr>
          <w:t>1,57</w:t>
        </w:r>
        <w:r w:rsidR="008524F1" w:rsidRPr="00DF0FB8">
          <w:t>=0.50, p=0.48).</w:t>
        </w:r>
      </w:moveTo>
      <w:moveToRangeEnd w:id="27"/>
      <w:ins w:id="29" w:author="Reviewer" w:date="2023-08-21T13:12:00Z">
        <w:r w:rsidR="008524F1">
          <w:t xml:space="preserve"> </w:t>
        </w:r>
      </w:ins>
      <w:ins w:id="30" w:author="Reviewer" w:date="2023-08-21T13:16:00Z">
        <w:r w:rsidR="008524F1">
          <w:t xml:space="preserve">However, we did find that </w:t>
        </w:r>
      </w:ins>
      <w:del w:id="31" w:author="Reviewer" w:date="2023-08-21T11:39:00Z">
        <w:r w:rsidRPr="00DF0FB8" w:rsidDel="00467185">
          <w:delText xml:space="preserve">Small </w:delText>
        </w:r>
      </w:del>
      <w:r w:rsidRPr="00DF0FB8">
        <w:t xml:space="preserve">impoundments treated with rotenone experienced an additional 96% (89–99%; 95% CI) </w:t>
      </w:r>
      <w:ins w:id="32" w:author="Reviewer" w:date="2023-08-21T13:14:00Z">
        <w:r w:rsidR="008524F1">
          <w:t xml:space="preserve">and </w:t>
        </w:r>
        <w:r w:rsidR="008524F1" w:rsidRPr="00DF0FB8">
          <w:t xml:space="preserve">62% (23–81%; 95% CI) </w:t>
        </w:r>
      </w:ins>
      <w:r w:rsidRPr="00DF0FB8">
        <w:t xml:space="preserve">reduction in Largemouth Bass </w:t>
      </w:r>
      <w:ins w:id="33" w:author="Reviewer" w:date="2023-08-21T13:14:00Z">
        <w:r w:rsidR="008524F1">
          <w:t xml:space="preserve">and Bluegill </w:t>
        </w:r>
      </w:ins>
      <w:r w:rsidRPr="00DF0FB8">
        <w:t>seine catches</w:t>
      </w:r>
      <w:ins w:id="34" w:author="Reviewer" w:date="2023-08-21T13:14:00Z">
        <w:r w:rsidR="008524F1">
          <w:t>, respectively,</w:t>
        </w:r>
      </w:ins>
      <w:r w:rsidRPr="00DF0FB8">
        <w:t xml:space="preserve"> the day following application (i.e., </w:t>
      </w:r>
      <w:r w:rsidRPr="00DF0FB8">
        <w:lastRenderedPageBreak/>
        <w:t>day 1/21 to day 2/22) compared to control impoundments (F</w:t>
      </w:r>
      <w:r w:rsidRPr="00DF0FB8">
        <w:softHyphen/>
      </w:r>
      <w:r w:rsidRPr="00DF0FB8">
        <w:rPr>
          <w:vertAlign w:val="subscript"/>
        </w:rPr>
        <w:t>1,61</w:t>
      </w:r>
      <w:r w:rsidRPr="00DF0FB8">
        <w:t xml:space="preserve">=44.57, p&lt;0.001; </w:t>
      </w:r>
      <w:ins w:id="35" w:author="Reviewer" w:date="2023-08-21T13:15:00Z">
        <w:r w:rsidR="008524F1" w:rsidRPr="00DF0FB8">
          <w:t>F</w:t>
        </w:r>
        <w:r w:rsidR="008524F1" w:rsidRPr="00DF0FB8">
          <w:rPr>
            <w:vertAlign w:val="subscript"/>
          </w:rPr>
          <w:t>1,61</w:t>
        </w:r>
        <w:r w:rsidR="008524F1" w:rsidRPr="00DF0FB8">
          <w:t>=7.48, p=0.0070</w:t>
        </w:r>
        <w:r w:rsidR="008524F1">
          <w:t xml:space="preserve">; </w:t>
        </w:r>
      </w:ins>
      <w:r w:rsidRPr="00DF0FB8">
        <w:t xml:space="preserve">Figure 2). </w:t>
      </w:r>
      <w:moveFromRangeStart w:id="36" w:author="Reviewer" w:date="2023-08-21T13:12:00Z" w:name="move143515979"/>
      <w:moveFrom w:id="37" w:author="Reviewer" w:date="2023-08-21T13:12:00Z">
        <w:r w:rsidRPr="00DF0FB8" w:rsidDel="008524F1">
          <w:t>Bluegill seine catches were also unrelated to application and its associated interactions (F</w:t>
        </w:r>
        <w:r w:rsidRPr="00DF0FB8" w:rsidDel="008524F1">
          <w:softHyphen/>
        </w:r>
        <w:r w:rsidRPr="00DF0FB8" w:rsidDel="008524F1">
          <w:rPr>
            <w:vertAlign w:val="subscript"/>
          </w:rPr>
          <w:t>1,57</w:t>
        </w:r>
        <w:r w:rsidRPr="00DF0FB8" w:rsidDel="008524F1">
          <w:t xml:space="preserve">=0.50, p=0.48). </w:t>
        </w:r>
      </w:moveFrom>
      <w:moveFromRangeEnd w:id="36"/>
      <w:del w:id="38" w:author="Reviewer" w:date="2023-08-21T13:15:00Z">
        <w:r w:rsidRPr="00DF0FB8" w:rsidDel="008524F1">
          <w:delText>We observed a statistically significant treatment x time period interaction (F</w:delText>
        </w:r>
        <w:r w:rsidRPr="00DF0FB8" w:rsidDel="008524F1">
          <w:rPr>
            <w:vertAlign w:val="subscript"/>
          </w:rPr>
          <w:delText>1,61</w:delText>
        </w:r>
        <w:r w:rsidRPr="00DF0FB8" w:rsidDel="008524F1">
          <w:delText xml:space="preserve">=7.48, p=0.0070) where treatments experienced an additional </w:delText>
        </w:r>
      </w:del>
      <w:del w:id="39" w:author="Reviewer" w:date="2023-08-21T13:14:00Z">
        <w:r w:rsidRPr="00DF0FB8" w:rsidDel="008524F1">
          <w:delText xml:space="preserve">62% (23–81%; 95% CI) </w:delText>
        </w:r>
      </w:del>
      <w:del w:id="40" w:author="Reviewer" w:date="2023-08-21T13:15:00Z">
        <w:r w:rsidRPr="00DF0FB8" w:rsidDel="008524F1">
          <w:delText xml:space="preserve">reduction in Bluegill seine catches the day after rotenone applications compared with controls (Figure 2). </w:delText>
        </w:r>
      </w:del>
    </w:p>
    <w:p w14:paraId="78E90F4F" w14:textId="333B78BA"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 xml:space="preserve">=5.69; p=0.24) seine catches were not significantly different initially in treatment and control </w:t>
      </w:r>
      <w:del w:id="41" w:author="Reviewer" w:date="2023-08-21T11:39:00Z">
        <w:r w:rsidRPr="00DF0FB8" w:rsidDel="00467185">
          <w:delText xml:space="preserve">small </w:delText>
        </w:r>
      </w:del>
      <w:r w:rsidRPr="00DF0FB8">
        <w:t>impoundments (Figure 3). When observing day-1 compared to the mid-summer follow-up (i.e., day-42) Largemouth Bass seine catches, we found the treatment x time period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treatment impoundments compared to controls (Figure 3).  However, for Bluegill seine catches, the treatment x time period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119BB122" w:rsidR="00DF0FB8" w:rsidRPr="00DF0FB8" w:rsidRDefault="00DF0FB8" w:rsidP="00DF0FB8">
      <w:pPr>
        <w:tabs>
          <w:tab w:val="left" w:pos="920"/>
        </w:tabs>
        <w:spacing w:line="480" w:lineRule="auto"/>
      </w:pPr>
      <w:r w:rsidRPr="00DF0FB8">
        <w:tab/>
        <w:t xml:space="preserve">In treatment </w:t>
      </w:r>
      <w:del w:id="42" w:author="Reviewer" w:date="2023-08-21T11:40:00Z">
        <w:r w:rsidRPr="00DF0FB8" w:rsidDel="00467185">
          <w:delText xml:space="preserve">small </w:delText>
        </w:r>
      </w:del>
      <w:r w:rsidRPr="00DF0FB8">
        <w:t>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 xml:space="preserve">=0.025; p=0.94). The treatment x time period interaction did not indicate any additional age-0 growth from day-1 to day-42 in the treatments versus controls </w:t>
      </w:r>
      <w:r w:rsidRPr="00DF0FB8">
        <w:lastRenderedPageBreak/>
        <w:t>(F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4AB1063" w:rsidR="00DF0FB8" w:rsidRPr="00DF0FB8" w:rsidRDefault="00DF0FB8" w:rsidP="00DF0FB8">
      <w:pPr>
        <w:tabs>
          <w:tab w:val="left" w:pos="920"/>
        </w:tabs>
        <w:spacing w:line="480" w:lineRule="auto"/>
        <w:rPr>
          <w:iCs/>
        </w:rPr>
      </w:pPr>
      <w:r w:rsidRPr="00DF0FB8">
        <w:rPr>
          <w:iCs/>
        </w:rPr>
        <w:tab/>
        <w:t xml:space="preserve">Largemouth Bass MLA-1 in </w:t>
      </w:r>
      <w:del w:id="43" w:author="Reviewer" w:date="2023-08-21T11:41:00Z">
        <w:r w:rsidRPr="00DF0FB8" w:rsidDel="00467185">
          <w:rPr>
            <w:iCs/>
          </w:rPr>
          <w:delText xml:space="preserve">small </w:delText>
        </w:r>
      </w:del>
      <w:r w:rsidRPr="00DF0FB8">
        <w:rPr>
          <w:iCs/>
        </w:rPr>
        <w:t>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w:t>
      </w:r>
      <w:del w:id="44" w:author="Reviewer" w:date="2023-08-21T11:41:00Z">
        <w:r w:rsidRPr="00DF0FB8" w:rsidDel="00467185">
          <w:rPr>
            <w:iCs/>
          </w:rPr>
          <w:delText>In small impoundments, w</w:delText>
        </w:r>
      </w:del>
      <w:ins w:id="45" w:author="Reviewer" w:date="2023-08-21T11:41:00Z">
        <w:r w:rsidR="00467185">
          <w:rPr>
            <w:iCs/>
          </w:rPr>
          <w:t>W</w:t>
        </w:r>
      </w:ins>
      <w:r w:rsidRPr="00DF0FB8">
        <w:rPr>
          <w:iCs/>
        </w:rPr>
        <w:t xml:space="preserve">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70FA0D30"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w:t>
      </w:r>
      <w:r w:rsidRPr="00DF0FB8">
        <w:rPr>
          <w:iCs/>
        </w:rPr>
        <w:lastRenderedPageBreak/>
        <w:t xml:space="preserve">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w:t>
      </w:r>
      <w:del w:id="46" w:author="Reviewer" w:date="2023-08-21T11:45:00Z">
        <w:r w:rsidRPr="00DF0FB8" w:rsidDel="00EF4887">
          <w:rPr>
            <w:iCs/>
          </w:rPr>
          <w:delText xml:space="preserve">small </w:delText>
        </w:r>
      </w:del>
      <w:r w:rsidRPr="00DF0FB8">
        <w:rPr>
          <w:iCs/>
        </w:rPr>
        <w:t xml:space="preserve">impoundments significantly declined 24 hours after rotenone applications, whereas catches in control </w:t>
      </w:r>
      <w:del w:id="47" w:author="Reviewer" w:date="2023-08-21T11:46:00Z">
        <w:r w:rsidRPr="00DF0FB8" w:rsidDel="00EF4887">
          <w:rPr>
            <w:iCs/>
          </w:rPr>
          <w:delText xml:space="preserve">small </w:delText>
        </w:r>
      </w:del>
      <w:r w:rsidRPr="00DF0FB8">
        <w:rPr>
          <w:iCs/>
        </w:rPr>
        <w:t xml:space="preserve">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w:t>
      </w:r>
      <w:del w:id="48" w:author="Reviewer" w:date="2023-08-21T11:46:00Z">
        <w:r w:rsidRPr="00DF0FB8" w:rsidDel="00EF4887">
          <w:rPr>
            <w:iCs/>
          </w:rPr>
          <w:delText xml:space="preserve">small </w:delText>
        </w:r>
      </w:del>
      <w:r w:rsidRPr="00DF0FB8">
        <w:rPr>
          <w:iCs/>
        </w:rPr>
        <w:t xml:space="preserve">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lastRenderedPageBreak/>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When Bluegill fry move from pelagic to littoral areas, they become more vulnerable to shoreline rotenone application. However, adult Bluegill can spawn multiple times throughout the summer, and fry transition from pelagic to littoral 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5109B1EB"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w:t>
      </w:r>
      <w:ins w:id="49" w:author="Reviewer" w:date="2023-08-21T11:48:00Z">
        <w:r w:rsidR="00EF4887">
          <w:rPr>
            <w:iCs/>
          </w:rPr>
          <w:t xml:space="preserve"> our</w:t>
        </w:r>
      </w:ins>
      <w:r w:rsidRPr="00DF0FB8">
        <w:rPr>
          <w:iCs/>
        </w:rPr>
        <w:t xml:space="preserve"> small impoundments—regardless of being treated once or twice—similar to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sidR="00495FF4">
        <w:rPr>
          <w:iCs/>
        </w:rPr>
        <w:lastRenderedPageBreak/>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r w:rsidRPr="00DF0FB8">
        <w:rPr>
          <w:i/>
        </w:rPr>
        <w:t>Ambloplites rupestris</w:t>
      </w:r>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 xml:space="preserve">masking treatment effects. Alternatively, perhaps density-dependent growth responses require more time for cumulative growth differences to emerge. Moreover, no age-0 </w:t>
      </w:r>
      <w:r w:rsidRPr="00DF0FB8">
        <w:rPr>
          <w:iCs/>
        </w:rPr>
        <w:lastRenderedPageBreak/>
        <w:t>Largemouth Bass were captured in mid-summer seine hauls in 50% of the treatment impoundments, so mean lengths may not have been representative of all impoundments.</w:t>
      </w:r>
    </w:p>
    <w:p w14:paraId="05285F8E" w14:textId="1381B78D"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r w:rsidRPr="00DF0FB8">
        <w:rPr>
          <w:i/>
        </w:rPr>
        <w:t>Ctenopharyngodon idella</w:t>
      </w:r>
      <w:r w:rsidRPr="00DF0FB8">
        <w:rPr>
          <w:iCs/>
        </w:rPr>
        <w:t xml:space="preserve">) were killed during the shoreline rotenone treatment. In the present study, we observed various numbers of larger Bluegill and Largemouth Bass mortality events (i.e., from none to nearly 200) along the shoreline of our treatment </w:t>
      </w:r>
      <w:del w:id="50" w:author="Reviewer" w:date="2023-08-21T11:50:00Z">
        <w:r w:rsidRPr="00DF0FB8" w:rsidDel="00EF4887">
          <w:rPr>
            <w:iCs/>
          </w:rPr>
          <w:delText xml:space="preserve">small </w:delText>
        </w:r>
      </w:del>
      <w:r w:rsidRPr="00DF0FB8">
        <w:rPr>
          <w:iCs/>
        </w:rPr>
        <w:t xml:space="preserve">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42F23DF2"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w:t>
      </w:r>
      <w:del w:id="51" w:author="Reviewer" w:date="2023-08-21T14:33:00Z">
        <w:r w:rsidRPr="00DF0FB8" w:rsidDel="00FC2B13">
          <w:rPr>
            <w:iCs/>
          </w:rPr>
          <w:delText xml:space="preserve">small </w:delText>
        </w:r>
      </w:del>
      <w:r w:rsidRPr="00DF0FB8">
        <w:rPr>
          <w:iCs/>
        </w:rPr>
        <w:t xml:space="preserve">impoundments tend to have more complex littoral habitats (e.g., thick emergent vegetation, overhanging terrestrial </w:t>
      </w:r>
      <w:r w:rsidRPr="00DF0FB8">
        <w:rPr>
          <w:iCs/>
        </w:rPr>
        <w:lastRenderedPageBreak/>
        <w:t xml:space="preserve">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w:t>
      </w:r>
      <w:del w:id="52" w:author="Reviewer" w:date="2023-08-21T14:33:00Z">
        <w:r w:rsidRPr="00DF0FB8" w:rsidDel="00FC2B13">
          <w:rPr>
            <w:iCs/>
          </w:rPr>
          <w:delText xml:space="preserve">small </w:delText>
        </w:r>
      </w:del>
      <w:r w:rsidRPr="00DF0FB8">
        <w:rPr>
          <w:iCs/>
        </w:rPr>
        <w:t xml:space="preserve">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t xml:space="preserve">[A]Management Implications </w:t>
      </w:r>
    </w:p>
    <w:p w14:paraId="5B113054" w14:textId="59DD4302"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w:t>
      </w:r>
      <w:del w:id="53" w:author="Reviewer" w:date="2023-08-21T14:36:00Z">
        <w:r w:rsidRPr="00DF0FB8" w:rsidDel="00FC2B13">
          <w:delText xml:space="preserve">sized small </w:delText>
        </w:r>
      </w:del>
      <w:r w:rsidRPr="00DF0FB8">
        <w:t xml:space="preserve">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technique may need to be repeated at regular intervals (e.g., 2–4 years), 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lastRenderedPageBreak/>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lastRenderedPageBreak/>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lastRenderedPageBreak/>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lastRenderedPageBreak/>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6FBE" w14:textId="77777777" w:rsidR="00D1266E" w:rsidRDefault="00D1266E" w:rsidP="005723B5">
      <w:r>
        <w:separator/>
      </w:r>
    </w:p>
  </w:endnote>
  <w:endnote w:type="continuationSeparator" w:id="0">
    <w:p w14:paraId="0732095E" w14:textId="77777777" w:rsidR="00D1266E" w:rsidRDefault="00D1266E"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0979" w14:textId="77777777" w:rsidR="00D1266E" w:rsidRDefault="00D1266E" w:rsidP="005723B5">
      <w:r>
        <w:separator/>
      </w:r>
    </w:p>
  </w:footnote>
  <w:footnote w:type="continuationSeparator" w:id="0">
    <w:p w14:paraId="3FD49E7F" w14:textId="77777777" w:rsidR="00D1266E" w:rsidRDefault="00D1266E"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1676E"/>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73DC0"/>
    <w:rsid w:val="00380AE6"/>
    <w:rsid w:val="003852D0"/>
    <w:rsid w:val="00387D06"/>
    <w:rsid w:val="00393157"/>
    <w:rsid w:val="00395720"/>
    <w:rsid w:val="003A2869"/>
    <w:rsid w:val="003A343E"/>
    <w:rsid w:val="003A6853"/>
    <w:rsid w:val="003B1999"/>
    <w:rsid w:val="003D7BCC"/>
    <w:rsid w:val="003F42BC"/>
    <w:rsid w:val="004056EA"/>
    <w:rsid w:val="00430425"/>
    <w:rsid w:val="004554A6"/>
    <w:rsid w:val="00467185"/>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36208"/>
    <w:rsid w:val="0063769F"/>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0D7C"/>
    <w:rsid w:val="00723738"/>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24F1"/>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4F83"/>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27897"/>
    <w:rsid w:val="00C33C82"/>
    <w:rsid w:val="00C3791F"/>
    <w:rsid w:val="00C45251"/>
    <w:rsid w:val="00C45555"/>
    <w:rsid w:val="00C77A17"/>
    <w:rsid w:val="00C9610F"/>
    <w:rsid w:val="00CA0CF6"/>
    <w:rsid w:val="00CA54D6"/>
    <w:rsid w:val="00CC359F"/>
    <w:rsid w:val="00CC5F9D"/>
    <w:rsid w:val="00CD1DCA"/>
    <w:rsid w:val="00CD774F"/>
    <w:rsid w:val="00CF3CFA"/>
    <w:rsid w:val="00D1266E"/>
    <w:rsid w:val="00D13690"/>
    <w:rsid w:val="00D13845"/>
    <w:rsid w:val="00D32286"/>
    <w:rsid w:val="00D32FB9"/>
    <w:rsid w:val="00D344E3"/>
    <w:rsid w:val="00D555F8"/>
    <w:rsid w:val="00D57C58"/>
    <w:rsid w:val="00D57C59"/>
    <w:rsid w:val="00D608C0"/>
    <w:rsid w:val="00D618EE"/>
    <w:rsid w:val="00D63D0F"/>
    <w:rsid w:val="00D72313"/>
    <w:rsid w:val="00D83BDE"/>
    <w:rsid w:val="00DA3DEF"/>
    <w:rsid w:val="00DA62E1"/>
    <w:rsid w:val="00DA7260"/>
    <w:rsid w:val="00DC0A15"/>
    <w:rsid w:val="00DC1FB6"/>
    <w:rsid w:val="00DC69CD"/>
    <w:rsid w:val="00DD1DA0"/>
    <w:rsid w:val="00DD58E0"/>
    <w:rsid w:val="00DE5200"/>
    <w:rsid w:val="00DF0FB8"/>
    <w:rsid w:val="00E00B2A"/>
    <w:rsid w:val="00E1215A"/>
    <w:rsid w:val="00E1759E"/>
    <w:rsid w:val="00E236C8"/>
    <w:rsid w:val="00E47E2E"/>
    <w:rsid w:val="00E50556"/>
    <w:rsid w:val="00E57A75"/>
    <w:rsid w:val="00E737FF"/>
    <w:rsid w:val="00E73F3A"/>
    <w:rsid w:val="00E74241"/>
    <w:rsid w:val="00E74B2A"/>
    <w:rsid w:val="00E927F2"/>
    <w:rsid w:val="00E9284B"/>
    <w:rsid w:val="00E9285E"/>
    <w:rsid w:val="00E95A22"/>
    <w:rsid w:val="00EA5F30"/>
    <w:rsid w:val="00EC5590"/>
    <w:rsid w:val="00ED50FE"/>
    <w:rsid w:val="00EF191B"/>
    <w:rsid w:val="00EF3F5E"/>
    <w:rsid w:val="00EF4887"/>
    <w:rsid w:val="00EF6EF8"/>
    <w:rsid w:val="00F034C9"/>
    <w:rsid w:val="00F10D6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C2B13"/>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 w:type="paragraph" w:styleId="Revision">
    <w:name w:val="Revision"/>
    <w:hidden/>
    <w:uiPriority w:val="99"/>
    <w:semiHidden/>
    <w:rsid w:val="00720D7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0D7C"/>
    <w:rPr>
      <w:sz w:val="16"/>
      <w:szCs w:val="16"/>
    </w:rPr>
  </w:style>
  <w:style w:type="paragraph" w:styleId="CommentText">
    <w:name w:val="annotation text"/>
    <w:basedOn w:val="Normal"/>
    <w:link w:val="CommentTextChar"/>
    <w:uiPriority w:val="99"/>
    <w:semiHidden/>
    <w:unhideWhenUsed/>
    <w:rsid w:val="00720D7C"/>
    <w:rPr>
      <w:sz w:val="20"/>
      <w:szCs w:val="20"/>
    </w:rPr>
  </w:style>
  <w:style w:type="character" w:customStyle="1" w:styleId="CommentTextChar">
    <w:name w:val="Comment Text Char"/>
    <w:basedOn w:val="DefaultParagraphFont"/>
    <w:link w:val="CommentText"/>
    <w:uiPriority w:val="99"/>
    <w:semiHidden/>
    <w:rsid w:val="00720D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0D7C"/>
    <w:rPr>
      <w:b/>
      <w:bCs/>
    </w:rPr>
  </w:style>
  <w:style w:type="character" w:customStyle="1" w:styleId="CommentSubjectChar">
    <w:name w:val="Comment Subject Char"/>
    <w:basedOn w:val="CommentTextChar"/>
    <w:link w:val="CommentSubject"/>
    <w:uiPriority w:val="99"/>
    <w:semiHidden/>
    <w:rsid w:val="00720D7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B46B5-32B3-E541-9520-5FEE0195B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23</Pages>
  <Words>24344</Words>
  <Characters>138766</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3</cp:revision>
  <cp:lastPrinted>2023-01-18T18:49:00Z</cp:lastPrinted>
  <dcterms:created xsi:type="dcterms:W3CDTF">2023-08-18T18:10:00Z</dcterms:created>
  <dcterms:modified xsi:type="dcterms:W3CDTF">2023-08-21T19:54:00Z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