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345F7" w14:textId="6F614AE1" w:rsidR="0080493E" w:rsidRDefault="00103A7F" w:rsidP="0080493E">
      <w:pPr>
        <w:spacing w:line="480" w:lineRule="auto"/>
      </w:pPr>
      <w:r>
        <w:t>[</w:t>
      </w:r>
      <w:r w:rsidR="0080493E">
        <w:t>A</w:t>
      </w:r>
      <w:r>
        <w:t>]</w:t>
      </w:r>
      <w:r w:rsidR="0080493E">
        <w:t>Abstract</w:t>
      </w:r>
    </w:p>
    <w:p w14:paraId="275DD5C6" w14:textId="565C3CB3" w:rsidR="0080493E" w:rsidRDefault="0080493E" w:rsidP="0080493E">
      <w:pPr>
        <w:spacing w:line="480" w:lineRule="auto"/>
        <w:ind w:firstLine="720"/>
      </w:pPr>
      <w:r>
        <w:t xml:space="preserve">Reducing Largemouth Bass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would need to not reduce productivity of their primary prey species, Bluegill. We tested this hypothesis by evaluating the effects of shoreline rotenone application on Bluegill and age-0 and age-1 Largemouth Bass density, growth, and survival in 20 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7DD8FA85" w14:textId="77777777" w:rsidR="00103A7F" w:rsidRDefault="00103A7F" w:rsidP="0080493E">
      <w:pPr>
        <w:spacing w:line="480" w:lineRule="auto"/>
        <w:ind w:firstLine="720"/>
      </w:pPr>
    </w:p>
    <w:p w14:paraId="02775986" w14:textId="600919B2" w:rsidR="00103A7F" w:rsidRDefault="00103A7F" w:rsidP="00103A7F">
      <w:pPr>
        <w:spacing w:line="480" w:lineRule="auto"/>
      </w:pPr>
      <w:r>
        <w:t>[A]Introduction</w:t>
      </w:r>
    </w:p>
    <w:p w14:paraId="37B2233A" w14:textId="77777777" w:rsidR="00103A7F" w:rsidRPr="0049148B" w:rsidRDefault="00103A7F" w:rsidP="00103A7F">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w:t>
      </w:r>
      <w:r w:rsidRPr="0049148B">
        <w:lastRenderedPageBreak/>
        <w:t xml:space="preserve">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7FE2EBB" w14:textId="610D6FAF" w:rsidR="00103A7F" w:rsidRPr="0049148B" w:rsidRDefault="00103A7F" w:rsidP="00103A7F">
      <w:pPr>
        <w:spacing w:line="480" w:lineRule="auto"/>
      </w:pPr>
      <w:r w:rsidRPr="0049148B">
        <w:tab/>
        <w:t xml:space="preserve">Largemouth Bass </w:t>
      </w:r>
      <w:r w:rsidRPr="0049148B">
        <w:rPr>
          <w:i/>
        </w:rPr>
        <w:t>Micropterus salmoides</w:t>
      </w:r>
      <w:r>
        <w:rPr>
          <w:i/>
        </w:rPr>
        <w:t xml:space="preserve"> </w:t>
      </w:r>
      <w:r>
        <w:rPr>
          <w:iCs/>
        </w:rPr>
        <w:t>(hereafter referred to as bass)</w:t>
      </w:r>
      <w:r w:rsidRPr="0049148B">
        <w:t xml:space="preserve"> 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 xml:space="preserve">Swingle and Smith 1942; Guy and Willis 1990; </w:t>
      </w:r>
      <w:proofErr w:type="spellStart"/>
      <w:r w:rsidRPr="0049148B">
        <w:t>Shoup</w:t>
      </w:r>
      <w:proofErr w:type="spellEnd"/>
      <w:r w:rsidRPr="0049148B">
        <w:t xml:space="preserve"> and </w:t>
      </w:r>
      <w:proofErr w:type="spellStart"/>
      <w:r w:rsidRPr="0049148B">
        <w:t>Broderius</w:t>
      </w:r>
      <w:proofErr w:type="spellEnd"/>
      <w:r w:rsidRPr="0049148B">
        <w:t xml:space="preserve"> 2018)</w:t>
      </w:r>
      <w:r w:rsidRPr="0049148B">
        <w:fldChar w:fldCharType="end"/>
      </w:r>
      <w:r w:rsidRPr="0049148B">
        <w:t xml:space="preserve"> stocking combination in small impoundments of middle and lower latitudes of North America </w:t>
      </w:r>
      <w:r w:rsidRPr="0049148B">
        <w:fldChar w:fldCharType="begin"/>
      </w:r>
      <w:r w:rsidR="003A17E2">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 xml:space="preserve">(Smitherman 1975; Novinger and Legler 1978; Brenden and Murphy 2004; </w:t>
      </w:r>
      <w:proofErr w:type="spellStart"/>
      <w:r w:rsidRPr="0049148B">
        <w:t>Dauwalter</w:t>
      </w:r>
      <w:proofErr w:type="spellEnd"/>
      <w:r w:rsidRPr="0049148B">
        <w:t xml:space="preserve"> and Jackson 2005; Wright and Kraft 2012)</w:t>
      </w:r>
      <w:r w:rsidRPr="0049148B">
        <w:fldChar w:fldCharType="end"/>
      </w:r>
      <w:r w:rsidRPr="0049148B">
        <w:t xml:space="preserve">. The </w:t>
      </w:r>
      <w:r>
        <w:t>b</w:t>
      </w:r>
      <w:r w:rsidRPr="0049148B">
        <w:t xml:space="preserve">ass is a top-level piscivore that is the most sought-after, economically significant, and heavily managed fish in North America </w:t>
      </w:r>
      <w:r w:rsidRPr="0049148B">
        <w:fldChar w:fldCharType="begin"/>
      </w:r>
      <w:r w:rsidR="003A17E2">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 xml:space="preserve">(Allen et al. 2008; Carlson and </w:t>
      </w:r>
      <w:proofErr w:type="spellStart"/>
      <w:r w:rsidRPr="0049148B">
        <w:t>Isermann</w:t>
      </w:r>
      <w:proofErr w:type="spellEnd"/>
      <w:r w:rsidRPr="0049148B">
        <w:t xml:space="preserve"> 2010; </w:t>
      </w:r>
      <w:proofErr w:type="spellStart"/>
      <w:r w:rsidRPr="0049148B">
        <w:t>Bonvechio</w:t>
      </w:r>
      <w:proofErr w:type="spellEnd"/>
      <w:r w:rsidRPr="0049148B">
        <w:t xml:space="preserve"> et al. 2014; Claussen 2015)</w:t>
      </w:r>
      <w:r w:rsidRPr="0049148B">
        <w:fldChar w:fldCharType="end"/>
      </w:r>
      <w:r w:rsidRPr="0049148B">
        <w:t>, attracting nearly 9.6 million anglers in 2016 (USDOI 201</w:t>
      </w:r>
      <w:r>
        <w:t>8</w:t>
      </w:r>
      <w:r w:rsidRPr="0049148B">
        <w:t xml:space="preserve">). </w:t>
      </w:r>
      <w:r>
        <w:t>Both b</w:t>
      </w:r>
      <w:r w:rsidRPr="0049148B">
        <w:t xml:space="preserve">ass and Bluegill are </w:t>
      </w:r>
      <w:r>
        <w:t xml:space="preserve">widespread, </w:t>
      </w:r>
      <w:r w:rsidRPr="0049148B">
        <w:t>highly productive, popular sport fish</w:t>
      </w:r>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7D53916C" w14:textId="23B7CB8D" w:rsidR="00103A7F" w:rsidRPr="0049148B" w:rsidRDefault="00103A7F" w:rsidP="00103A7F">
      <w:pPr>
        <w:spacing w:line="480" w:lineRule="auto"/>
      </w:pPr>
      <w:r w:rsidRPr="0049148B">
        <w:tab/>
      </w:r>
      <w:r>
        <w:t>Along with maintaining productive small impoundment habitats, fisheries m</w:t>
      </w:r>
      <w:r w:rsidRPr="0049148B">
        <w:t>anagement in small impoundments involves manipulating population densities to achieve desired growth rates</w:t>
      </w:r>
      <w:r>
        <w:t xml:space="preserve"> and ultimately requested sizes of both bass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rsidR="003A17E2">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 xml:space="preserve">(Swingle and Smith 1942; </w:t>
      </w:r>
      <w:proofErr w:type="spellStart"/>
      <w:r>
        <w:t>Gabelhouse</w:t>
      </w:r>
      <w:proofErr w:type="spellEnd"/>
      <w:r>
        <w:t xml:space="preserve"> 1987; </w:t>
      </w:r>
      <w:proofErr w:type="spellStart"/>
      <w:r>
        <w:t>Aday</w:t>
      </w:r>
      <w:proofErr w:type="spellEnd"/>
      <w:r>
        <w:t xml:space="preserve"> and </w:t>
      </w:r>
      <w:proofErr w:type="spellStart"/>
      <w:r>
        <w:t>Graeb</w:t>
      </w:r>
      <w:proofErr w:type="spellEnd"/>
      <w:r>
        <w:t xml:space="preserve">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r>
        <w:t>b</w:t>
      </w:r>
      <w:r w:rsidRPr="0049148B">
        <w:t>ass and Bluegill to obtain “balanced” populations that optimize fish size and production to achieve sustainable harvest for both species</w:t>
      </w:r>
      <w:r>
        <w:t xml:space="preserve"> </w:t>
      </w:r>
      <w:r w:rsidRPr="0049148B">
        <w:fldChar w:fldCharType="begin"/>
      </w:r>
      <w:r w:rsidR="003A17E2">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 xml:space="preserve">(Swingle 1950; </w:t>
      </w:r>
      <w:proofErr w:type="spellStart"/>
      <w:r w:rsidRPr="0049148B">
        <w:t>Geihsler</w:t>
      </w:r>
      <w:proofErr w:type="spellEnd"/>
      <w:r w:rsidRPr="0049148B">
        <w:t xml:space="preserve"> and Holder 1983; Sammons and </w:t>
      </w:r>
      <w:proofErr w:type="spellStart"/>
      <w:r w:rsidRPr="0049148B">
        <w:t>Maceina</w:t>
      </w:r>
      <w:proofErr w:type="spellEnd"/>
      <w:r w:rsidRPr="0049148B">
        <w:t xml:space="preserve"> 2005)</w:t>
      </w:r>
      <w:r w:rsidRPr="0049148B">
        <w:fldChar w:fldCharType="end"/>
      </w:r>
      <w:r w:rsidRPr="0049148B">
        <w:t xml:space="preserve">. Overharvest of </w:t>
      </w:r>
      <w:r>
        <w:t>b</w:t>
      </w:r>
      <w:r w:rsidRPr="0049148B">
        <w:t xml:space="preserve">ass was historically one of the most common small impoundment management </w:t>
      </w:r>
      <w:r w:rsidRPr="0049148B">
        <w:lastRenderedPageBreak/>
        <w:t>problems</w:t>
      </w:r>
      <w:r>
        <w:t xml:space="preserve"> because it </w:t>
      </w:r>
      <w:r w:rsidRPr="0049148B">
        <w:t xml:space="preserve">reduced predation on Bluegill and </w:t>
      </w:r>
      <w:r>
        <w:t>led to excess</w:t>
      </w:r>
      <w:r w:rsidRPr="0049148B">
        <w:t xml:space="preserve"> Bluegill densitie</w:t>
      </w:r>
      <w:r>
        <w:t>s or “Bluegill crowded” conditions</w:t>
      </w:r>
      <w:r w:rsidRPr="0049148B">
        <w:t xml:space="preserve"> </w:t>
      </w:r>
      <w:fldSimple w:instr=" ADDIN ZOTERO_TEMP "/>
      <w:r w:rsidRPr="0049148B">
        <w:t>. An overabundance of Bluegill can</w:t>
      </w:r>
      <w:r>
        <w:t xml:space="preserve"> reduce their growth rate and body condition </w:t>
      </w:r>
      <w:r w:rsidRPr="0049148B">
        <w:fldChar w:fldCharType="begin"/>
      </w:r>
      <w:r w:rsidR="003A17E2">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r>
        <w:t>b</w:t>
      </w:r>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rsidR="003A17E2">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r>
        <w:t>b</w:t>
      </w:r>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rsidR="003A17E2">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w:t>
      </w:r>
      <w:proofErr w:type="spellStart"/>
      <w:r w:rsidRPr="0049148B">
        <w:t>Zweiacker</w:t>
      </w:r>
      <w:proofErr w:type="spellEnd"/>
      <w:r w:rsidRPr="0049148B">
        <w:t xml:space="preserve"> and </w:t>
      </w:r>
      <w:proofErr w:type="spellStart"/>
      <w:r w:rsidRPr="0049148B">
        <w:t>Summerfelt</w:t>
      </w:r>
      <w:proofErr w:type="spellEnd"/>
      <w:r w:rsidRPr="0049148B">
        <w:t xml:space="preserve"> 1974; Werner 1977; Kelso 1983; Brenden and Murphy 2004)</w:t>
      </w:r>
      <w:r w:rsidRPr="0049148B">
        <w:fldChar w:fldCharType="end"/>
      </w:r>
      <w:r w:rsidRPr="0049148B">
        <w:t>.</w:t>
      </w:r>
    </w:p>
    <w:p w14:paraId="09FEE61B" w14:textId="4957F831" w:rsidR="00103A7F" w:rsidRPr="0049148B" w:rsidRDefault="00103A7F" w:rsidP="00103A7F">
      <w:pPr>
        <w:spacing w:line="480" w:lineRule="auto"/>
      </w:pPr>
      <w:r w:rsidRPr="0049148B">
        <w:tab/>
        <w:t xml:space="preserve">Over the last 30 years, </w:t>
      </w:r>
      <w:r>
        <w:t>bass</w:t>
      </w:r>
      <w:r w:rsidRPr="0049148B">
        <w:t xml:space="preserve"> anglers across North America have increasingly adopted catch-and-release fishing</w:t>
      </w:r>
      <w:r>
        <w:t>, which has led to increased bass densities and caused density-dependent growth reductions in bass in some systems</w:t>
      </w:r>
      <w:r w:rsidRPr="0049148B">
        <w:t xml:space="preserve"> </w:t>
      </w:r>
      <w:r w:rsidRPr="0049148B">
        <w:fldChar w:fldCharType="begin"/>
      </w:r>
      <w:r w:rsidR="003A17E2">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 xml:space="preserve">(Quinn 1996; Sammons and </w:t>
      </w:r>
      <w:proofErr w:type="spellStart"/>
      <w:r w:rsidRPr="0049148B">
        <w:t>Maceina</w:t>
      </w:r>
      <w:proofErr w:type="spellEnd"/>
      <w:r w:rsidRPr="0049148B">
        <w:t xml:space="preserve"> 2005; Wright and Kraft 2012; </w:t>
      </w:r>
      <w:proofErr w:type="spellStart"/>
      <w:r w:rsidRPr="0049148B">
        <w:t>Bonvechio</w:t>
      </w:r>
      <w:proofErr w:type="spellEnd"/>
      <w:r w:rsidRPr="0049148B">
        <w:t xml:space="preserve"> et al. 2014)</w:t>
      </w:r>
      <w:r w:rsidRPr="0049148B">
        <w:fldChar w:fldCharType="end"/>
      </w:r>
      <w:r w:rsidRPr="0049148B">
        <w:t xml:space="preserve">. Bass spawn annually at rates </w:t>
      </w:r>
      <w:r>
        <w:t>of 900–3200</w:t>
      </w:r>
      <w:r w:rsidRPr="0049148B">
        <w:t xml:space="preserve"> eggs</w:t>
      </w:r>
      <w:r>
        <w:t>/kg</w:t>
      </w:r>
      <w:r w:rsidRPr="0049148B">
        <w:t xml:space="preserve"> body weight </w:t>
      </w:r>
      <w:r>
        <w:t>(</w:t>
      </w:r>
      <w:r w:rsidRPr="0049148B">
        <w:fldChar w:fldCharType="begin"/>
      </w:r>
      <w:r w:rsidR="003A17E2">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 xml:space="preserve">Moyle 1976; </w:t>
      </w:r>
      <w:proofErr w:type="spellStart"/>
      <w:r w:rsidRPr="0049148B">
        <w:t>Laarman</w:t>
      </w:r>
      <w:proofErr w:type="spellEnd"/>
      <w:r w:rsidRPr="0049148B">
        <w:t xml:space="preserve"> and Schneider 2004; Claussen 2015)</w:t>
      </w:r>
      <w:r w:rsidRPr="0049148B">
        <w:fldChar w:fldCharType="end"/>
      </w:r>
      <w:r w:rsidRPr="0049148B">
        <w:t xml:space="preserve">, making them highly vulnerable to overcrowding and density-dependent growth reductions </w:t>
      </w:r>
      <w:r w:rsidRPr="0049148B">
        <w:fldChar w:fldCharType="begin"/>
      </w:r>
      <w:r w:rsidR="003A17E2">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t>
      </w:r>
      <w:proofErr w:type="spellStart"/>
      <w:r w:rsidRPr="0049148B">
        <w:t>Aday</w:t>
      </w:r>
      <w:proofErr w:type="spellEnd"/>
      <w:r w:rsidRPr="0049148B">
        <w:t xml:space="preserve"> and </w:t>
      </w:r>
      <w:proofErr w:type="spellStart"/>
      <w:r w:rsidRPr="0049148B">
        <w:t>Graeb</w:t>
      </w:r>
      <w:proofErr w:type="spellEnd"/>
      <w:r w:rsidRPr="0049148B">
        <w:t xml:space="preserve"> 2012; Wright and Kraft 2012)</w:t>
      </w:r>
      <w:r w:rsidRPr="0049148B">
        <w:fldChar w:fldCharType="end"/>
      </w:r>
      <w:r w:rsidRPr="0049148B">
        <w:t xml:space="preserve">. Methods used to maintain balanced populations of </w:t>
      </w:r>
      <w:r>
        <w:t>b</w:t>
      </w:r>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rsidR="003A17E2">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 xml:space="preserve">(Swingle and Smith 1942; Eder 1984; </w:t>
      </w:r>
      <w:proofErr w:type="spellStart"/>
      <w:r w:rsidRPr="0049148B">
        <w:t>Gabelhouse</w:t>
      </w:r>
      <w:proofErr w:type="spellEnd"/>
      <w:r w:rsidRPr="0049148B">
        <w:t xml:space="preserv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bass </w:t>
      </w:r>
      <w:r w:rsidRPr="0049148B">
        <w:fldChar w:fldCharType="begin"/>
      </w:r>
      <w:r w:rsidR="003A17E2">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w:t>
      </w:r>
      <w:proofErr w:type="spellStart"/>
      <w:r>
        <w:t>Gabelhouse</w:t>
      </w:r>
      <w:proofErr w:type="spellEnd"/>
      <w:r>
        <w:t xml:space="preserve"> 1987; McHugh 1990)</w:t>
      </w:r>
      <w:r w:rsidRPr="0049148B">
        <w:fldChar w:fldCharType="end"/>
      </w:r>
      <w:r>
        <w:t xml:space="preserve">, and common sampling gears </w:t>
      </w:r>
      <w:r w:rsidRPr="0049148B">
        <w:t xml:space="preserve">(e.g., hook-and-line, electrofishing) are inefficient at capturing age-0 </w:t>
      </w:r>
      <w:r>
        <w:t>bass to reduce recruitment. Moreover, c</w:t>
      </w:r>
      <w:r w:rsidRPr="0049148B">
        <w:t xml:space="preserve">onsistent </w:t>
      </w:r>
      <w:r>
        <w:t xml:space="preserve">high </w:t>
      </w:r>
      <w:r w:rsidRPr="0049148B">
        <w:t>annual recruitment of</w:t>
      </w:r>
      <w:r w:rsidRPr="002701FF">
        <w:t xml:space="preserve"> </w:t>
      </w:r>
      <w:r>
        <w:t>b</w:t>
      </w:r>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rsidR="003A17E2">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 xml:space="preserve">(Swingle 1950; Shelton et al. 1979; Allen and Hightower 2010; </w:t>
      </w:r>
      <w:proofErr w:type="spellStart"/>
      <w:r>
        <w:t>Aday</w:t>
      </w:r>
      <w:proofErr w:type="spellEnd"/>
      <w:r>
        <w:t xml:space="preserve"> and </w:t>
      </w:r>
      <w:proofErr w:type="spellStart"/>
      <w:r>
        <w:t>Graeb</w:t>
      </w:r>
      <w:proofErr w:type="spellEnd"/>
      <w:r>
        <w:t xml:space="preserve"> </w:t>
      </w:r>
      <w:r>
        <w:lastRenderedPageBreak/>
        <w:t>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r>
        <w:t>b</w:t>
      </w:r>
      <w:r w:rsidRPr="0049148B">
        <w:t>ass recruitme</w:t>
      </w:r>
      <w:r>
        <w:t>n</w:t>
      </w:r>
      <w:r w:rsidRPr="0049148B">
        <w:t xml:space="preserve">t. </w:t>
      </w:r>
    </w:p>
    <w:p w14:paraId="12CE55AE" w14:textId="1DE5F150" w:rsidR="00103A7F" w:rsidRDefault="00103A7F" w:rsidP="00103A7F">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rsidR="003A17E2">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shoreline rotenone treatment</w:t>
      </w:r>
      <w:r>
        <w:t>s</w:t>
      </w:r>
      <w:r w:rsidRPr="0049148B">
        <w:t xml:space="preserve"> </w:t>
      </w:r>
      <w:r>
        <w:t>and</w:t>
      </w:r>
      <w:r w:rsidRPr="0049148B">
        <w:t xml:space="preserve"> 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r>
        <w:t>b</w:t>
      </w:r>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 To date, no studies have evaluated shoreline rotenone treatments targeting </w:t>
      </w:r>
      <w:r>
        <w:t>b</w:t>
      </w:r>
      <w:r w:rsidRPr="0049148B">
        <w:t xml:space="preserve">ass recruitment in impoundments ≤10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r>
        <w:t>b</w:t>
      </w:r>
      <w:r w:rsidRPr="0049148B">
        <w:t>ass densities</w:t>
      </w:r>
      <w:r>
        <w:t xml:space="preserve"> in small impoundments</w:t>
      </w:r>
      <w:r w:rsidRPr="0049148B">
        <w:t xml:space="preserve">, (2) investigate compensatory density-dependent responses of </w:t>
      </w:r>
      <w:r>
        <w:t>b</w:t>
      </w:r>
      <w:r w:rsidRPr="0049148B">
        <w:t>ass growth and survival, (3) quantif</w:t>
      </w:r>
      <w:r>
        <w:t>y</w:t>
      </w:r>
      <w:r w:rsidRPr="0049148B">
        <w:t xml:space="preserve"> changes in Bluegill </w:t>
      </w:r>
      <w:r>
        <w:t>density</w:t>
      </w:r>
      <w:r w:rsidRPr="0049148B">
        <w:t xml:space="preserve">, and (4) </w:t>
      </w:r>
      <w:r>
        <w:t>evaluate</w:t>
      </w:r>
      <w:r w:rsidRPr="006066C8">
        <w:t xml:space="preserve"> the effect of impoundment surface area on the efficacy of shoreline rotenone application</w:t>
      </w:r>
      <w:r>
        <w:t>.</w:t>
      </w:r>
    </w:p>
    <w:p w14:paraId="10B9ACB6" w14:textId="77777777" w:rsidR="00103A7F" w:rsidRPr="00EF191B" w:rsidRDefault="00103A7F" w:rsidP="00103A7F">
      <w:pPr>
        <w:spacing w:line="480" w:lineRule="auto"/>
        <w:rPr>
          <w:sz w:val="22"/>
          <w:szCs w:val="22"/>
        </w:rPr>
      </w:pPr>
    </w:p>
    <w:p w14:paraId="3E2373F2" w14:textId="53BFF9F5" w:rsidR="00103A7F" w:rsidRDefault="00103A7F" w:rsidP="00103A7F">
      <w:pPr>
        <w:spacing w:line="480" w:lineRule="auto"/>
      </w:pPr>
      <w:r>
        <w:t>[A]Methods</w:t>
      </w:r>
    </w:p>
    <w:p w14:paraId="7123DCBC" w14:textId="66FEB057" w:rsidR="00103A7F" w:rsidRDefault="00103A7F" w:rsidP="00103A7F">
      <w:pPr>
        <w:spacing w:line="480" w:lineRule="auto"/>
      </w:pPr>
      <w:r>
        <w:t>[C]</w:t>
      </w:r>
      <w:r w:rsidRPr="00C05EE6">
        <w:rPr>
          <w:i/>
          <w:iCs/>
        </w:rPr>
        <w:t xml:space="preserve">Study </w:t>
      </w:r>
      <w:proofErr w:type="gramStart"/>
      <w:r>
        <w:rPr>
          <w:i/>
          <w:iCs/>
        </w:rPr>
        <w:t>site</w:t>
      </w:r>
      <w:r w:rsidRPr="00C05EE6">
        <w:rPr>
          <w:i/>
          <w:iCs/>
        </w:rPr>
        <w:t>.</w:t>
      </w:r>
      <w:r>
        <w:t>—</w:t>
      </w:r>
      <w:proofErr w:type="gramEnd"/>
      <w:r>
        <w:t xml:space="preserve">We used 20 small impoundments ranging from 0.7–48 ha for this study; we grouped impoundments into “small-sized” (&lt; 12 ha) and “large-sized” (&gt; 33 ha; </w:t>
      </w:r>
      <w:r w:rsidRPr="00C77A17">
        <w:t>Table 1</w:t>
      </w:r>
      <w:r>
        <w:t xml:space="preserve">), hereafter referred to as simply small and large impoundments, respectively, until the discussion and management implications. Impoundments were located across central to southern Alabama on private lands, those publicly owned and managed by the Alabama Department of Conservation and Natural Resources (ADCNR), or those owned by Auburn University </w:t>
      </w:r>
      <w:r w:rsidRPr="00245F66">
        <w:t>(</w:t>
      </w:r>
      <w:r w:rsidRPr="00A824FF">
        <w:t>Figure 1</w:t>
      </w:r>
      <w:r w:rsidRPr="00245F66">
        <w:t>).</w:t>
      </w:r>
      <w:r>
        <w:t xml:space="preserve"> Ten impoundments received shoreline rotenone application; the remaining ten impoundments served as untreated controls. We selected i</w:t>
      </w:r>
      <w:r w:rsidRPr="00724517">
        <w:t>mpoundment</w:t>
      </w:r>
      <w:r>
        <w:t>s so that control and treatment systems were</w:t>
      </w:r>
      <w:r w:rsidRPr="00724517">
        <w:t xml:space="preserve"> similar in littoral vegetation coverage, bank depth, </w:t>
      </w:r>
      <w:r>
        <w:t>surface area (with one exception)</w:t>
      </w:r>
      <w:r w:rsidRPr="00724517">
        <w:t xml:space="preserve">, and </w:t>
      </w:r>
      <w:r>
        <w:t xml:space="preserve">bass and Bluegill densities. Small impoundments were chosen to be treated or not based on </w:t>
      </w:r>
      <w:r>
        <w:lastRenderedPageBreak/>
        <w:t>ADCNR, private owner, and Auburn University requests. We sampled impoundments during spring 2017 through spring 2019 for this study; we sampled using electrofishing each spring and applied rotenone treatments in the summers of 2017 and 2018, which we refer to as “treatment periods” (Table 1). We included twelve impoundments (i.e., six controls/six treatments) in the first treatment period, with eight of those (i.e., four controls/four treatments) being included again in the second treatment period. We added eight more impoundments the second treatment period, for a total of sixteen impoundments that period (Table 1).</w:t>
      </w:r>
    </w:p>
    <w:p w14:paraId="07D7FFA0" w14:textId="77777777" w:rsidR="00103A7F" w:rsidRDefault="00103A7F" w:rsidP="00103A7F">
      <w:pPr>
        <w:spacing w:line="480" w:lineRule="auto"/>
      </w:pPr>
    </w:p>
    <w:p w14:paraId="04766330" w14:textId="144C750D" w:rsidR="00103A7F" w:rsidRDefault="00103A7F" w:rsidP="00103A7F">
      <w:pPr>
        <w:tabs>
          <w:tab w:val="left" w:pos="920"/>
        </w:tabs>
        <w:spacing w:line="480" w:lineRule="auto"/>
      </w:pPr>
      <w:r>
        <w:rPr>
          <w:iCs/>
        </w:rPr>
        <w:t>[C]</w:t>
      </w:r>
      <w:r w:rsidRPr="007F0515">
        <w:rPr>
          <w:i/>
        </w:rPr>
        <w:t xml:space="preserve">Summer </w:t>
      </w:r>
      <w:r>
        <w:rPr>
          <w:i/>
        </w:rPr>
        <w:t>r</w:t>
      </w:r>
      <w:r w:rsidRPr="007F0515">
        <w:rPr>
          <w:i/>
        </w:rPr>
        <w:t xml:space="preserve">otenone </w:t>
      </w:r>
      <w:proofErr w:type="gramStart"/>
      <w:r>
        <w:rPr>
          <w:i/>
        </w:rPr>
        <w:t>a</w:t>
      </w:r>
      <w:r w:rsidRPr="007F0515">
        <w:rPr>
          <w:i/>
        </w:rPr>
        <w:t>pplication</w:t>
      </w:r>
      <w:r w:rsidRPr="007F0515">
        <w:rPr>
          <w:i/>
        </w:rPr>
        <w:softHyphen/>
      </w:r>
      <w:r>
        <w:rPr>
          <w:iCs/>
        </w:rPr>
        <w:t>.—</w:t>
      </w:r>
      <w:proofErr w:type="gramEnd"/>
      <w:r>
        <w:t>We used 5% biodegradable liquid rotenone (</w:t>
      </w:r>
      <w:proofErr w:type="spellStart"/>
      <w:r>
        <w:t>Prenfish</w:t>
      </w:r>
      <w:proofErr w:type="spellEnd"/>
      <w:r>
        <w:t xml:space="preserve"> Fish Toxicant) to target age-0 bass. Juvenile bass recruit in littoral areas of impoundments after dispersing from male-guarded fry schools in late spring </w:t>
      </w:r>
      <w:r>
        <w:fldChar w:fldCharType="begin"/>
      </w:r>
      <w:r>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fldChar w:fldCharType="separate"/>
      </w:r>
      <w:r>
        <w:rPr>
          <w:noProof/>
        </w:rPr>
        <w:t>(Kramer and Smith 1962; Jackson and Noble 1995)</w:t>
      </w:r>
      <w:r>
        <w:fldChar w:fldCharType="end"/>
      </w:r>
      <w:r>
        <w:t>, at which time they are highly vulnerable to shoreline rotenone application (McHugh 1990). Treatment impoundments received rotenone in 2017 only, in 2018 only, or both years (</w:t>
      </w:r>
      <w:r w:rsidRPr="00581D72">
        <w:t>Table 1</w:t>
      </w:r>
      <w:r>
        <w:t xml:space="preserve">). Two applications were used each year;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(210,920 L/m</w:t>
      </w:r>
      <w:r>
        <w:rPr>
          <w:vertAlign w:val="superscript"/>
        </w:rPr>
        <w:t>2</w:t>
      </w:r>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 xml:space="preserve">simultaneously between the subsurface </w:t>
      </w:r>
      <w:r w:rsidRPr="005F7E7E">
        <w:lastRenderedPageBreak/>
        <w:t>injector and shoreline.</w:t>
      </w:r>
      <w:r>
        <w:t xml:space="preserve"> We made a single pass around the perimeter of each treatment impoundment, applying 0.5 L rotenone per 90 m of shoreline.</w:t>
      </w:r>
    </w:p>
    <w:p w14:paraId="4CC7D58B" w14:textId="77777777" w:rsidR="00103A7F" w:rsidRPr="007F0515" w:rsidRDefault="00103A7F" w:rsidP="00103A7F">
      <w:pPr>
        <w:tabs>
          <w:tab w:val="left" w:pos="920"/>
        </w:tabs>
        <w:spacing w:line="480" w:lineRule="auto"/>
        <w:rPr>
          <w:iCs/>
        </w:rPr>
      </w:pPr>
    </w:p>
    <w:p w14:paraId="29581CAD" w14:textId="073F1DC6" w:rsidR="00103A7F" w:rsidRDefault="00103A7F" w:rsidP="00103A7F">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after we treated the treatment impoundment</w:t>
      </w:r>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3450D0E5" w14:textId="77777777" w:rsidR="00103A7F" w:rsidRPr="007F0515" w:rsidRDefault="00103A7F" w:rsidP="00103A7F">
      <w:pPr>
        <w:tabs>
          <w:tab w:val="left" w:pos="920"/>
        </w:tabs>
        <w:spacing w:line="480" w:lineRule="auto"/>
        <w:rPr>
          <w:iCs/>
        </w:rPr>
      </w:pPr>
    </w:p>
    <w:p w14:paraId="1B6AB5F0" w14:textId="3FD07DE7" w:rsidR="00103A7F" w:rsidRDefault="00103A7F" w:rsidP="00103A7F">
      <w:pPr>
        <w:tabs>
          <w:tab w:val="left" w:pos="920"/>
        </w:tabs>
        <w:spacing w:line="480" w:lineRule="auto"/>
      </w:pPr>
      <w:r>
        <w:rPr>
          <w:iCs/>
        </w:rPr>
        <w:t>[C]</w:t>
      </w:r>
      <w:proofErr w:type="gramStart"/>
      <w:r w:rsidRPr="00836042">
        <w:rPr>
          <w:i/>
        </w:rPr>
        <w:t>Electrofishing</w:t>
      </w:r>
      <w:r>
        <w:rPr>
          <w:iCs/>
        </w:rP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 mm) and </w:t>
      </w:r>
      <w:r>
        <w:lastRenderedPageBreak/>
        <w:t>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imbedded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reader’s age estimates. When different ages were assigned to individual fish, a third independent reader provided an estimate and a consensus age for all otoliths was reached by discussion.</w:t>
      </w:r>
    </w:p>
    <w:p w14:paraId="67D27C5F" w14:textId="77777777" w:rsidR="00103A7F" w:rsidRDefault="00103A7F" w:rsidP="00103A7F">
      <w:pPr>
        <w:tabs>
          <w:tab w:val="left" w:pos="920"/>
        </w:tabs>
        <w:spacing w:line="480" w:lineRule="auto"/>
      </w:pPr>
    </w:p>
    <w:p w14:paraId="10FA2D98" w14:textId="673DBF2A" w:rsidR="00103A7F" w:rsidRPr="00297D1A" w:rsidRDefault="00103A7F" w:rsidP="00103A7F">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r>
        <w:t>bass</w:t>
      </w:r>
      <w:r w:rsidRPr="00824A64">
        <w:t xml:space="preserve"> seine catch</w:t>
      </w:r>
      <w:r>
        <w:t xml:space="preserve">es (i.e., total catch per impoundment) in both small and large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w:t>
      </w:r>
      <w:proofErr w:type="gramStart"/>
      <w:r>
        <w:lastRenderedPageBreak/>
        <w:t>time period</w:t>
      </w:r>
      <w:proofErr w:type="gramEnd"/>
      <w:r>
        <w:t xml:space="preserve"> (before/after treatment), and all interactions. The treatment x time interaction tested whether catches declined significantly more in treatments than controls. </w:t>
      </w:r>
    </w:p>
    <w:p w14:paraId="68B3D4F7" w14:textId="77777777" w:rsidR="00103A7F" w:rsidRDefault="00103A7F" w:rsidP="00103A7F">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r>
        <w:t>b</w:t>
      </w:r>
      <w:r w:rsidRPr="00BB4E96">
        <w:t>ass populations for both large and small impoundments. We used a generalized linear</w:t>
      </w:r>
      <w:r>
        <w:t xml:space="preserve"> model and generalized linear</w:t>
      </w:r>
      <w:r w:rsidRPr="00BB4E96">
        <w:t xml:space="preserve"> mixed-effects model with negative binomial sampling distribution</w:t>
      </w:r>
      <w:r>
        <w:t>s for small and large impoundments, respectively</w:t>
      </w:r>
      <w:r w:rsidRPr="00BB4E96">
        <w:t xml:space="preserve">. The model for small impoundments included random effects for impoundment x year intercepts and fixed effects of treatment, </w:t>
      </w:r>
      <w:proofErr w:type="gramStart"/>
      <w:r w:rsidRPr="00BB4E96">
        <w:t>time period</w:t>
      </w:r>
      <w:proofErr w:type="gramEnd"/>
      <w:r w:rsidRPr="00BB4E96">
        <w:t xml:space="preserve">, and their interaction, while the </w:t>
      </w:r>
      <w:r>
        <w:t xml:space="preserve">smaller </w:t>
      </w:r>
      <w:r w:rsidRPr="00BB4E96">
        <w:t>large impoundment sample size</w:t>
      </w:r>
      <w:r>
        <w:t xml:space="preserve"> (Table 1) prevented the use of a random effect</w:t>
      </w:r>
      <w:r w:rsidRPr="00BB4E96">
        <w:t>.</w:t>
      </w:r>
    </w:p>
    <w:p w14:paraId="55FE0323" w14:textId="77777777" w:rsidR="00103A7F" w:rsidRPr="003138B4" w:rsidRDefault="00103A7F" w:rsidP="00103A7F">
      <w:pPr>
        <w:tabs>
          <w:tab w:val="left" w:pos="920"/>
        </w:tabs>
        <w:spacing w:line="480" w:lineRule="auto"/>
      </w:pPr>
      <w:r>
        <w:tab/>
        <w:t>We compared bass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0CCB35C7" w14:textId="77777777" w:rsidR="00103A7F" w:rsidRDefault="00103A7F" w:rsidP="00103A7F">
      <w:pPr>
        <w:tabs>
          <w:tab w:val="left" w:pos="920"/>
        </w:tabs>
        <w:spacing w:line="480" w:lineRule="auto"/>
        <w:rPr>
          <w:iCs/>
        </w:rPr>
      </w:pPr>
    </w:p>
    <w:p w14:paraId="6ADAC185" w14:textId="39F94051" w:rsidR="00103A7F" w:rsidRPr="00FA0FAB" w:rsidRDefault="00103A7F" w:rsidP="00103A7F">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r>
        <w:t>ba</w:t>
      </w:r>
      <w:r w:rsidRPr="00247AE8">
        <w:t>ss MLA-1 for both large and small</w:t>
      </w:r>
      <w:r>
        <w:t xml:space="preserve"> </w:t>
      </w:r>
      <w:r w:rsidRPr="00247AE8">
        <w:t>impoundments using a BACI analysis.</w:t>
      </w:r>
      <w:r>
        <w:t xml:space="preserve"> For this analysis section, the effect of rotenone treatment is represented as (1) a control or pre-treatment, (2) treated one year, or (3) treated two years.</w:t>
      </w:r>
      <w:r w:rsidRPr="00247AE8">
        <w:t xml:space="preserve"> We obtained MLA from otolith-aged </w:t>
      </w:r>
      <w:r w:rsidRPr="00247AE8">
        <w:lastRenderedPageBreak/>
        <w:t xml:space="preserve">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For small impoundments, we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t>
      </w:r>
    </w:p>
    <w:p w14:paraId="653F0E4A" w14:textId="77777777" w:rsidR="00103A7F" w:rsidRDefault="00103A7F" w:rsidP="00103A7F">
      <w:pPr>
        <w:tabs>
          <w:tab w:val="left" w:pos="920"/>
        </w:tabs>
        <w:spacing w:line="480" w:lineRule="auto"/>
      </w:pPr>
      <w:r>
        <w:tab/>
        <w:t>We evaluated the effect of rotenone treatment on natural-log-transformed electrofishing catch-per-unit-effort (CPUE; fish caught per 30 minutes electrofishing) of age-1 bass and stock-sized Bluegill (i.e., &gt;80 mm) using a BACI analysis for both large and small impoundments. To meet the assumption of normality, we added a 1 to all age-1 bass CPUE values</w:t>
      </w:r>
      <w:r w:rsidRPr="00D83BDE">
        <w:t xml:space="preserve"> </w:t>
      </w:r>
      <w:r>
        <w:t>because of zeros to allow for log-transforming the data; however, the Bluegill data did not contain zeros. We analyzed effects of rotenone application on bass recruitment using age-1 CPUE, and effects on non-target fish for rotenone application (i.e., stock-sized Bluegill) using Bluegill CPUE. For each dependent variable in small impoundments, we fit</w:t>
      </w:r>
      <w:r w:rsidRPr="00247AE8">
        <w:t xml:space="preserve"> a linear mixed-effects model via maximum likelihood with </w:t>
      </w:r>
      <w:r>
        <w:t xml:space="preserve">an </w:t>
      </w:r>
      <w:r w:rsidRPr="00247AE8">
        <w:t>independent random effect of impoundment intercepts</w:t>
      </w:r>
      <w:r>
        <w:t>—we could not use a random effect of year because of our sample size (Table 1) resulting in singular fit—</w:t>
      </w:r>
      <w:r w:rsidRPr="00247AE8">
        <w:t>and a fixed effect of rotenone treatment (</w:t>
      </w:r>
      <w:r>
        <w:t xml:space="preserve">control, </w:t>
      </w:r>
      <w:r w:rsidRPr="00247AE8">
        <w:t>once</w:t>
      </w:r>
      <w:r>
        <w:t>,</w:t>
      </w:r>
      <w:r w:rsidRPr="00247AE8">
        <w:t xml:space="preserve"> or twice) on the natural logarithm of </w:t>
      </w:r>
      <w:r>
        <w:t xml:space="preserve">CPUE. We fit a linear mixed-effects model via maximum likelihood for each dependent variable in large </w:t>
      </w:r>
      <w:r>
        <w:lastRenderedPageBreak/>
        <w:t xml:space="preserve">impoundments with an independent random effect of year intercepts—sample size limitation (Table 1)—and the same fixed effect of rotenone treatment on the natural logarithm of CPUE. </w:t>
      </w:r>
    </w:p>
    <w:p w14:paraId="3F141A34" w14:textId="77777777" w:rsidR="00103A7F" w:rsidRDefault="00103A7F" w:rsidP="00103A7F">
      <w:pPr>
        <w:tabs>
          <w:tab w:val="left" w:pos="920"/>
        </w:tabs>
        <w:spacing w:line="480" w:lineRule="auto"/>
      </w:pPr>
      <w:r w:rsidRPr="00CE03D9">
        <w:tab/>
      </w:r>
      <w:r>
        <w:t xml:space="preserve">We tested for compensatory age-0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for both large and small impoundments. For small impoundments, we fit a linear mixed-effects model via maximum likelihood with an independent random effect of year intercepts with a fixed effect of rotenone treatment. The large impoundment sample size allowed us to fit a linear regression via maximum likelihood with the same rotenone treatment fixed effect. </w:t>
      </w:r>
    </w:p>
    <w:p w14:paraId="013E1742" w14:textId="77777777" w:rsidR="00103A7F" w:rsidRDefault="00103A7F" w:rsidP="00103A7F">
      <w:pPr>
        <w:tabs>
          <w:tab w:val="left" w:pos="920"/>
        </w:tabs>
        <w:spacing w:line="480" w:lineRule="auto"/>
      </w:pPr>
    </w:p>
    <w:p w14:paraId="444AD1CC" w14:textId="055F4BEA" w:rsidR="00280BCC" w:rsidRDefault="00103A7F" w:rsidP="00103A7F">
      <w:pPr>
        <w:tabs>
          <w:tab w:val="left" w:pos="920"/>
        </w:tabs>
        <w:spacing w:line="480" w:lineRule="auto"/>
      </w:pPr>
      <w:r>
        <w:t xml:space="preserve">[A]Results </w:t>
      </w:r>
    </w:p>
    <w:p w14:paraId="6BA16863" w14:textId="3EE4C57B" w:rsidR="00280BCC" w:rsidRDefault="00103A7F" w:rsidP="00103A7F">
      <w:pPr>
        <w:tabs>
          <w:tab w:val="left" w:pos="920"/>
        </w:tabs>
        <w:spacing w:line="480" w:lineRule="auto"/>
      </w:pPr>
      <w:r>
        <w:rPr>
          <w:iCs/>
        </w:rPr>
        <w:t>[B]</w:t>
      </w:r>
      <w:r w:rsidRPr="00280BCC">
        <w:t xml:space="preserve">Age-0 </w:t>
      </w:r>
      <w:r w:rsidR="00280BCC">
        <w:t>R</w:t>
      </w:r>
      <w:r w:rsidRPr="00280BCC">
        <w:t xml:space="preserve">elative </w:t>
      </w:r>
      <w:r w:rsidR="00280BCC">
        <w:t>A</w:t>
      </w:r>
      <w:r w:rsidRPr="00280BCC">
        <w:t xml:space="preserve">bundance and </w:t>
      </w:r>
      <w:r w:rsidR="00280BCC">
        <w:t>M</w:t>
      </w:r>
      <w:r w:rsidRPr="00280BCC">
        <w:t xml:space="preserve">ean </w:t>
      </w:r>
      <w:r w:rsidR="00280BCC">
        <w:t>L</w:t>
      </w:r>
      <w:r w:rsidRPr="00280BCC">
        <w:t>ength</w:t>
      </w:r>
    </w:p>
    <w:p w14:paraId="46CE59EF" w14:textId="2A2E8A2A" w:rsidR="00103A7F" w:rsidRDefault="00280BCC" w:rsidP="00103A7F">
      <w:pPr>
        <w:tabs>
          <w:tab w:val="left" w:pos="920"/>
        </w:tabs>
        <w:spacing w:line="480" w:lineRule="auto"/>
      </w:pPr>
      <w:r>
        <w:tab/>
      </w:r>
      <w:r w:rsidR="00103A7F">
        <w:t>The treatment x time period x application (first: day-1 vs. day-2, and second: day-21 vs. day-22) interaction for bass seine catches was not statistically significant: differences in catches between treated versus control impoundments before and after rotenone treatment were similar between the first and second rotenone applications in small (F</w:t>
      </w:r>
      <w:r w:rsidR="00103A7F">
        <w:rPr>
          <w:vertAlign w:val="subscript"/>
        </w:rPr>
        <w:t>1,57</w:t>
      </w:r>
      <w:r w:rsidR="00103A7F">
        <w:t>=0.38, p=0.57) and large (F</w:t>
      </w:r>
      <w:r w:rsidR="00103A7F">
        <w:rPr>
          <w:vertAlign w:val="subscript"/>
        </w:rPr>
        <w:t>1,15</w:t>
      </w:r>
      <w:r w:rsidR="00103A7F">
        <w:t xml:space="preserve">=0.0023, p=0.96) impoundments. In other words, regardless of application (day 1 or 21), the same immediate treatment effect was observed. In small impoundments, those treated with rotenone experienced an additional 96% (89–99%; ±95% CI) reduction in bass seine catches the </w:t>
      </w:r>
      <w:r w:rsidR="00103A7F">
        <w:lastRenderedPageBreak/>
        <w:t>day following application (i.e., day 1/21 to day 2/22) compared to control impoundments (F</w:t>
      </w:r>
      <w:r w:rsidR="00103A7F">
        <w:softHyphen/>
      </w:r>
      <w:r w:rsidR="00103A7F">
        <w:rPr>
          <w:vertAlign w:val="subscript"/>
        </w:rPr>
        <w:t>1,61</w:t>
      </w:r>
      <w:r w:rsidR="00103A7F">
        <w:t xml:space="preserve">=44.57, p&lt;0.001; </w:t>
      </w:r>
      <w:r w:rsidR="00103A7F" w:rsidRPr="00F4365F">
        <w:t>Figure 2</w:t>
      </w:r>
      <w:r w:rsidR="00103A7F">
        <w:t>). Similarly, in large impoundments we observed an additional 86% (56–96%; ±95% CI) reduction in bass seine catches in treatment compared to control impoundments (F</w:t>
      </w:r>
      <w:r w:rsidR="00103A7F">
        <w:rPr>
          <w:vertAlign w:val="subscript"/>
        </w:rPr>
        <w:t>1,19</w:t>
      </w:r>
      <w:r w:rsidR="00103A7F">
        <w:t xml:space="preserve">=11.62, p&lt;0.001; </w:t>
      </w:r>
      <w:r w:rsidR="00103A7F" w:rsidRPr="00F4365F">
        <w:t>Figure 2</w:t>
      </w:r>
      <w:r w:rsidR="00103A7F">
        <w:t>) the following day. Bluegill seine catches were also unrelated to application and its associated interactions in small (F</w:t>
      </w:r>
      <w:r w:rsidR="00103A7F">
        <w:softHyphen/>
      </w:r>
      <w:r w:rsidR="00103A7F">
        <w:rPr>
          <w:vertAlign w:val="subscript"/>
        </w:rPr>
        <w:t>1,57</w:t>
      </w:r>
      <w:r w:rsidR="00103A7F">
        <w:t>=0.50, p=0.48) and large (F</w:t>
      </w:r>
      <w:r w:rsidR="00103A7F">
        <w:rPr>
          <w:vertAlign w:val="subscript"/>
        </w:rPr>
        <w:t>1,15</w:t>
      </w:r>
      <w:r w:rsidR="00103A7F">
        <w:t xml:space="preserve">=0.59, p=0.45) impoundments (i.e., the treatment x </w:t>
      </w:r>
      <w:proofErr w:type="gramStart"/>
      <w:r w:rsidR="00103A7F">
        <w:t>time period</w:t>
      </w:r>
      <w:proofErr w:type="gramEnd"/>
      <w:r w:rsidR="00103A7F">
        <w:t xml:space="preserve"> x application interaction was not statistically significant). We observed a statistically significant treatment x </w:t>
      </w:r>
      <w:proofErr w:type="gramStart"/>
      <w:r w:rsidR="00103A7F">
        <w:t>time period</w:t>
      </w:r>
      <w:proofErr w:type="gramEnd"/>
      <w:r w:rsidR="00103A7F">
        <w:t xml:space="preserve"> interaction in small (F</w:t>
      </w:r>
      <w:r w:rsidR="00103A7F">
        <w:rPr>
          <w:vertAlign w:val="subscript"/>
        </w:rPr>
        <w:t>1,61</w:t>
      </w:r>
      <w:r w:rsidR="00103A7F">
        <w:t xml:space="preserve">=7.48, p=0.0070) impoundments where treatments experienced an additional </w:t>
      </w:r>
      <w:r w:rsidR="00103A7F" w:rsidRPr="0020700B">
        <w:t>6</w:t>
      </w:r>
      <w:r w:rsidR="00103A7F">
        <w:t>2</w:t>
      </w:r>
      <w:r w:rsidR="00103A7F" w:rsidRPr="0020700B">
        <w:t>% (</w:t>
      </w:r>
      <w:r w:rsidR="00103A7F">
        <w:t>23</w:t>
      </w:r>
      <w:r w:rsidR="00103A7F" w:rsidRPr="0020700B">
        <w:t>–</w:t>
      </w:r>
      <w:r w:rsidR="00103A7F">
        <w:t>81</w:t>
      </w:r>
      <w:r w:rsidR="00103A7F" w:rsidRPr="0020700B">
        <w:t>%; ±95% CI)</w:t>
      </w:r>
      <w:r w:rsidR="00103A7F">
        <w:t xml:space="preserve"> reduction in Bluegill seine catches the day after rotenone applications compared with controls (</w:t>
      </w:r>
      <w:r w:rsidR="00103A7F" w:rsidRPr="00F4365F">
        <w:t>Figure 3</w:t>
      </w:r>
      <w:r w:rsidR="00103A7F">
        <w:t xml:space="preserve">). However, in large impoundments, a statistically significant treatment x </w:t>
      </w:r>
      <w:proofErr w:type="gramStart"/>
      <w:r w:rsidR="00103A7F">
        <w:t>time period</w:t>
      </w:r>
      <w:proofErr w:type="gramEnd"/>
      <w:r w:rsidR="00103A7F">
        <w:t xml:space="preserve"> interaction was not evident (F</w:t>
      </w:r>
      <w:r w:rsidR="00103A7F">
        <w:rPr>
          <w:vertAlign w:val="subscript"/>
        </w:rPr>
        <w:t>1,19</w:t>
      </w:r>
      <w:r w:rsidR="00103A7F">
        <w:t>=2.91, p=0.092) in Bluegill seine catches even though an additional 54% (-13–82%; ±95% CI) reduction was observed one-day post treatment in treatment impoundments compared to controls (</w:t>
      </w:r>
      <w:r w:rsidR="00103A7F" w:rsidRPr="00F4365F">
        <w:t>Figure 3</w:t>
      </w:r>
      <w:r w:rsidR="00103A7F">
        <w:t>).</w:t>
      </w:r>
    </w:p>
    <w:p w14:paraId="755D0222" w14:textId="77777777" w:rsidR="00103A7F" w:rsidRDefault="00103A7F" w:rsidP="00103A7F">
      <w:pPr>
        <w:tabs>
          <w:tab w:val="left" w:pos="920"/>
        </w:tabs>
        <w:spacing w:line="480" w:lineRule="auto"/>
      </w:pPr>
      <w:r>
        <w:tab/>
        <w:t>Pre-treatment (i.e., day 1) bass seine catches were not significantly different initially in treatment and control small (F</w:t>
      </w:r>
      <w:r>
        <w:rPr>
          <w:vertAlign w:val="subscript"/>
        </w:rPr>
        <w:t>1,19</w:t>
      </w:r>
      <w:r>
        <w:t>=11.22; p=0.56) and large (F</w:t>
      </w:r>
      <w:r>
        <w:rPr>
          <w:vertAlign w:val="subscript"/>
        </w:rPr>
        <w:t>1,5</w:t>
      </w:r>
      <w:r>
        <w:rPr>
          <w:vertAlign w:val="subscript"/>
        </w:rPr>
        <w:softHyphen/>
      </w:r>
      <w:r>
        <w:rPr>
          <w:vertAlign w:val="subscript"/>
        </w:rPr>
        <w:softHyphen/>
      </w:r>
      <w:r>
        <w:t xml:space="preserve">=3.55; p=0.97) impoundments. When observing day-1 compared to the mid-summer follow-up (i.e., day-42), we found the treatment x </w:t>
      </w:r>
      <w:proofErr w:type="gramStart"/>
      <w:r>
        <w:t>time period</w:t>
      </w:r>
      <w:proofErr w:type="gramEnd"/>
      <w:r>
        <w:t xml:space="preserve"> interaction was statistically significant in small impoundments (F</w:t>
      </w:r>
      <w:r>
        <w:rPr>
          <w:vertAlign w:val="subscript"/>
        </w:rPr>
        <w:t>1,19</w:t>
      </w:r>
      <w:r>
        <w:t>=6.73; p=0.017) and represented an additional 86% (38–97%; ±95% CI) post-treatment decrease in small treatment impoundments compared to small controls (</w:t>
      </w:r>
      <w:r w:rsidRPr="001A40B7">
        <w:t>Figure 4</w:t>
      </w:r>
      <w:r>
        <w:t xml:space="preserve">). The large impoundment treatment x </w:t>
      </w:r>
      <w:proofErr w:type="gramStart"/>
      <w:r>
        <w:t>time period</w:t>
      </w:r>
      <w:proofErr w:type="gramEnd"/>
      <w:r>
        <w:t xml:space="preserve"> interaction was not statistically significant (F</w:t>
      </w:r>
      <w:r>
        <w:rPr>
          <w:vertAlign w:val="subscript"/>
        </w:rPr>
        <w:t>1,5</w:t>
      </w:r>
      <w:r>
        <w:t>=3.53; p=0.061), but did present an additional 71% (-5–92%; ±95% CI) post-treatment decrease in large treatment impoundments compared to large controls (</w:t>
      </w:r>
      <w:r w:rsidRPr="001A40B7">
        <w:t>Figure 4</w:t>
      </w:r>
      <w:r>
        <w:t xml:space="preserve">). Bluegill seine catches were not </w:t>
      </w:r>
      <w:r>
        <w:lastRenderedPageBreak/>
        <w:t>significantly different initially in treatment and control small impoundments (F</w:t>
      </w:r>
      <w:r>
        <w:softHyphen/>
      </w:r>
      <w:r>
        <w:rPr>
          <w:vertAlign w:val="subscript"/>
        </w:rPr>
        <w:t>1,19</w:t>
      </w:r>
      <w:r>
        <w:t>=5.69; p=0.24), but were significantly different in large impoundments (F</w:t>
      </w:r>
      <w:r>
        <w:rPr>
          <w:vertAlign w:val="subscript"/>
        </w:rPr>
        <w:t>1,5</w:t>
      </w:r>
      <w:r>
        <w:t xml:space="preserve">=21.059; p&lt;0.001; </w:t>
      </w:r>
      <w:r w:rsidRPr="001A40B7">
        <w:t>Figure 5</w:t>
      </w:r>
      <w:r>
        <w:t xml:space="preserve">). The treatment x </w:t>
      </w:r>
      <w:proofErr w:type="gramStart"/>
      <w:r>
        <w:t>time period</w:t>
      </w:r>
      <w:proofErr w:type="gramEnd"/>
      <w:r>
        <w:t xml:space="preserve"> interaction in small (F</w:t>
      </w:r>
      <w:r>
        <w:rPr>
          <w:vertAlign w:val="subscript"/>
        </w:rPr>
        <w:t>1,19</w:t>
      </w:r>
      <w:r>
        <w:t>=0.39; p=0.55) and large (F</w:t>
      </w:r>
      <w:r>
        <w:rPr>
          <w:vertAlign w:val="subscript"/>
        </w:rPr>
        <w:t>1,5</w:t>
      </w:r>
      <w:r>
        <w:rPr>
          <w:vertAlign w:val="subscript"/>
        </w:rPr>
        <w:softHyphen/>
      </w:r>
      <w:r>
        <w:t>=0.41; p=0.52) impoundments was not statistically significant, presenting no change in catches of Bluegill from day-1 to day-42 in treatments compared to controls (</w:t>
      </w:r>
      <w:r w:rsidRPr="008620B4">
        <w:t>Figure 5</w:t>
      </w:r>
      <w:r>
        <w:t xml:space="preserve">).  </w:t>
      </w:r>
    </w:p>
    <w:p w14:paraId="6D8371D1" w14:textId="2D7A9308" w:rsidR="00103A7F" w:rsidRDefault="00103A7F" w:rsidP="00103A7F">
      <w:pPr>
        <w:tabs>
          <w:tab w:val="left" w:pos="920"/>
        </w:tabs>
        <w:spacing w:line="480" w:lineRule="auto"/>
      </w:pPr>
      <w:r>
        <w:tab/>
        <w:t>Age-0 bass were not captured in six of the treated impoundments. In impoundments from which they were captured, bass MLA-0 in the seine catches pre-treatment (i.e., day 1) were similar in the treatment and control small (F</w:t>
      </w:r>
      <w:r>
        <w:rPr>
          <w:vertAlign w:val="subscript"/>
        </w:rPr>
        <w:t>1,19</w:t>
      </w:r>
      <w:r>
        <w:t>=0.025; p=0.94) and large (F</w:t>
      </w:r>
      <w:r>
        <w:rPr>
          <w:vertAlign w:val="subscript"/>
        </w:rPr>
        <w:t>1,5</w:t>
      </w:r>
      <w:r>
        <w:t xml:space="preserve">=3.81; p=0.16) impoundments. In small impoundments, the treatment x </w:t>
      </w:r>
      <w:proofErr w:type="gramStart"/>
      <w:r>
        <w:t>time period</w:t>
      </w:r>
      <w:proofErr w:type="gramEnd"/>
      <w:r>
        <w:t xml:space="preserve"> interaction did not indicate any additional age-0 growth from day-1 to day-42 in the controls and treatments (F</w:t>
      </w:r>
      <w:r>
        <w:rPr>
          <w:vertAlign w:val="subscript"/>
        </w:rPr>
        <w:t>1,14</w:t>
      </w:r>
      <w:r>
        <w:t>=0.024; p=0.88). Likewise, large impoundments did not experience additional age-0 growth due to treatment (F</w:t>
      </w:r>
      <w:r>
        <w:rPr>
          <w:vertAlign w:val="subscript"/>
        </w:rPr>
        <w:t>1,5</w:t>
      </w:r>
      <w:r>
        <w:rPr>
          <w:vertAlign w:val="subscript"/>
        </w:rPr>
        <w:softHyphen/>
      </w:r>
      <w:r>
        <w:t xml:space="preserve">=0.38; p=0.56; </w:t>
      </w:r>
      <w:r w:rsidRPr="001A40B7">
        <w:t>Figure 6</w:t>
      </w:r>
      <w:r>
        <w:t xml:space="preserve">). Among both impoundment sizes, MLA-0 on day 42 was 63 mm (51–76 mm; ±95% CI) in the treatments and 58 mm (48–71 mm; ±95% CI) in the controls. </w:t>
      </w:r>
    </w:p>
    <w:p w14:paraId="6204A3C5" w14:textId="77777777" w:rsidR="00280BCC" w:rsidRPr="009019D8" w:rsidRDefault="00280BCC" w:rsidP="00103A7F">
      <w:pPr>
        <w:tabs>
          <w:tab w:val="left" w:pos="920"/>
        </w:tabs>
        <w:spacing w:line="480" w:lineRule="auto"/>
      </w:pPr>
    </w:p>
    <w:p w14:paraId="2B11F0D2" w14:textId="61EB92ED" w:rsidR="00280BCC" w:rsidRDefault="00280BCC" w:rsidP="00103A7F">
      <w:pPr>
        <w:tabs>
          <w:tab w:val="left" w:pos="920"/>
        </w:tabs>
        <w:spacing w:line="480" w:lineRule="auto"/>
        <w:rPr>
          <w:iCs/>
        </w:rPr>
      </w:pPr>
      <w:r>
        <w:rPr>
          <w:iCs/>
        </w:rPr>
        <w:t>[B]</w:t>
      </w:r>
      <w:r w:rsidR="00103A7F" w:rsidRPr="00280BCC">
        <w:rPr>
          <w:iCs/>
        </w:rPr>
        <w:t xml:space="preserve">Age-1 </w:t>
      </w:r>
      <w:r>
        <w:rPr>
          <w:iCs/>
        </w:rPr>
        <w:t>G</w:t>
      </w:r>
      <w:r w:rsidR="00103A7F" w:rsidRPr="00280BCC">
        <w:rPr>
          <w:iCs/>
        </w:rPr>
        <w:t xml:space="preserve">rowth, </w:t>
      </w:r>
      <w:r>
        <w:rPr>
          <w:iCs/>
        </w:rPr>
        <w:t>R</w:t>
      </w:r>
      <w:r w:rsidR="00103A7F" w:rsidRPr="00280BCC">
        <w:rPr>
          <w:iCs/>
        </w:rPr>
        <w:t xml:space="preserve">ecruitment, </w:t>
      </w:r>
      <w:r>
        <w:rPr>
          <w:iCs/>
        </w:rPr>
        <w:t>S</w:t>
      </w:r>
      <w:r w:rsidR="00103A7F" w:rsidRPr="00280BCC">
        <w:rPr>
          <w:iCs/>
        </w:rPr>
        <w:t xml:space="preserve">urvival, and </w:t>
      </w:r>
      <w:r>
        <w:rPr>
          <w:iCs/>
        </w:rPr>
        <w:t>S</w:t>
      </w:r>
      <w:r w:rsidR="00103A7F" w:rsidRPr="00280BCC">
        <w:rPr>
          <w:iCs/>
        </w:rPr>
        <w:t xml:space="preserve">ize </w:t>
      </w:r>
      <w:r>
        <w:rPr>
          <w:iCs/>
        </w:rPr>
        <w:t>S</w:t>
      </w:r>
      <w:r w:rsidR="00103A7F" w:rsidRPr="00280BCC">
        <w:rPr>
          <w:iCs/>
        </w:rPr>
        <w:t>tructure</w:t>
      </w:r>
    </w:p>
    <w:p w14:paraId="66B2407B" w14:textId="6A5084D3" w:rsidR="00103A7F" w:rsidRDefault="00280BCC" w:rsidP="00103A7F">
      <w:pPr>
        <w:tabs>
          <w:tab w:val="left" w:pos="920"/>
        </w:tabs>
        <w:spacing w:line="480" w:lineRule="auto"/>
        <w:rPr>
          <w:iCs/>
        </w:rPr>
      </w:pPr>
      <w:r>
        <w:rPr>
          <w:iCs/>
        </w:rPr>
        <w:tab/>
      </w:r>
      <w:r w:rsidR="00103A7F">
        <w:rPr>
          <w:iCs/>
        </w:rPr>
        <w:t>Bass MLA-1 in small impoundments significantly increased on average by 27% (16–40%; ±95% CI) after one year of treatment (F</w:t>
      </w:r>
      <w:r w:rsidR="00103A7F">
        <w:rPr>
          <w:iCs/>
          <w:vertAlign w:val="subscript"/>
        </w:rPr>
        <w:t>1,24</w:t>
      </w:r>
      <w:r w:rsidR="00103A7F">
        <w:rPr>
          <w:iCs/>
        </w:rPr>
        <w:t>=19.15; p&lt;0.001) and by 31% (16–48%; ±95% CI) after two consecutive years of treatment (F</w:t>
      </w:r>
      <w:r w:rsidR="00103A7F">
        <w:rPr>
          <w:iCs/>
          <w:vertAlign w:val="subscript"/>
        </w:rPr>
        <w:t>1,24</w:t>
      </w:r>
      <w:r w:rsidR="00103A7F">
        <w:rPr>
          <w:iCs/>
        </w:rPr>
        <w:t>=19.15; p&lt;0.001) compared to the controls. However, there was no difference between one versus two years of treatment (F</w:t>
      </w:r>
      <w:r w:rsidR="00103A7F">
        <w:rPr>
          <w:iCs/>
          <w:vertAlign w:val="subscript"/>
        </w:rPr>
        <w:t>1,24</w:t>
      </w:r>
      <w:r w:rsidR="00103A7F">
        <w:rPr>
          <w:iCs/>
          <w:vertAlign w:val="subscript"/>
        </w:rPr>
        <w:softHyphen/>
      </w:r>
      <w:r w:rsidR="00103A7F">
        <w:rPr>
          <w:iCs/>
        </w:rPr>
        <w:t>=19.15; p=0.69) in small impoundments (</w:t>
      </w:r>
      <w:r w:rsidR="00103A7F" w:rsidRPr="001A40B7">
        <w:rPr>
          <w:iCs/>
        </w:rPr>
        <w:t>Figure 7</w:t>
      </w:r>
      <w:r w:rsidR="00103A7F">
        <w:rPr>
          <w:iCs/>
        </w:rPr>
        <w:t>). In large impoundments, bass MLA-1 increased on average 17% (3–33%; ±95% CI) after the first treatment (F</w:t>
      </w:r>
      <w:r w:rsidR="00103A7F">
        <w:rPr>
          <w:iCs/>
          <w:vertAlign w:val="subscript"/>
        </w:rPr>
        <w:t>1,7</w:t>
      </w:r>
      <w:r w:rsidR="00103A7F">
        <w:rPr>
          <w:iCs/>
        </w:rPr>
        <w:t>=3.83; p=0.050) and 20% (-2–45%; ±95% CI) after two consecutive treatments (F</w:t>
      </w:r>
      <w:r w:rsidR="00103A7F">
        <w:rPr>
          <w:iCs/>
          <w:vertAlign w:val="subscript"/>
        </w:rPr>
        <w:t>1,12</w:t>
      </w:r>
      <w:r w:rsidR="00103A7F">
        <w:rPr>
          <w:iCs/>
        </w:rPr>
        <w:t xml:space="preserve">=3.83; p=0.099). There was no difference </w:t>
      </w:r>
      <w:r w:rsidR="00103A7F">
        <w:rPr>
          <w:iCs/>
        </w:rPr>
        <w:lastRenderedPageBreak/>
        <w:t>between bass MLA-1 after one versus after two rotenone treatments in large impoundments (F</w:t>
      </w:r>
      <w:r w:rsidR="00103A7F">
        <w:rPr>
          <w:iCs/>
          <w:vertAlign w:val="subscript"/>
        </w:rPr>
        <w:t>1,9</w:t>
      </w:r>
      <w:r w:rsidR="00103A7F">
        <w:rPr>
          <w:iCs/>
        </w:rPr>
        <w:t xml:space="preserve">=3.83; p=0.84; </w:t>
      </w:r>
      <w:r w:rsidR="00103A7F" w:rsidRPr="001A40B7">
        <w:rPr>
          <w:iCs/>
        </w:rPr>
        <w:t>Figure 7</w:t>
      </w:r>
      <w:r w:rsidR="00103A7F">
        <w:rPr>
          <w:iCs/>
        </w:rPr>
        <w:t>).</w:t>
      </w:r>
    </w:p>
    <w:p w14:paraId="5F609BB4" w14:textId="77777777" w:rsidR="00103A7F" w:rsidRPr="008B0704" w:rsidRDefault="00103A7F" w:rsidP="00103A7F">
      <w:pPr>
        <w:tabs>
          <w:tab w:val="left" w:pos="920"/>
        </w:tabs>
        <w:spacing w:line="480" w:lineRule="auto"/>
        <w:rPr>
          <w:iCs/>
        </w:rPr>
      </w:pPr>
      <w:r>
        <w:rPr>
          <w:iCs/>
        </w:rPr>
        <w:tab/>
        <w:t>In small impoundments, we found bass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 in small impoundments (</w:t>
      </w:r>
      <w:r w:rsidRPr="001A40B7">
        <w:rPr>
          <w:iCs/>
        </w:rPr>
        <w:t>Figure 9</w:t>
      </w:r>
      <w:r>
        <w:rPr>
          <w:iCs/>
        </w:rPr>
        <w:t>). In large impoundments, we detected no difference in bass recruitment across all treatment comparisons (</w:t>
      </w:r>
      <w:r w:rsidRPr="001A40B7">
        <w:rPr>
          <w:iCs/>
        </w:rPr>
        <w:t>Figure 8</w:t>
      </w:r>
      <w:r>
        <w:rPr>
          <w:iCs/>
        </w:rPr>
        <w:t>): control versus one year of treatment (F</w:t>
      </w:r>
      <w:r>
        <w:rPr>
          <w:iCs/>
          <w:vertAlign w:val="subscript"/>
        </w:rPr>
        <w:t>1,7</w:t>
      </w:r>
      <w:r>
        <w:rPr>
          <w:iCs/>
        </w:rPr>
        <w:t>=0.89; p=0.21), control versus two years of treatment (F</w:t>
      </w:r>
      <w:r>
        <w:rPr>
          <w:iCs/>
          <w:vertAlign w:val="subscript"/>
        </w:rPr>
        <w:t>1,7</w:t>
      </w:r>
      <w:r>
        <w:rPr>
          <w:iCs/>
        </w:rPr>
        <w:t>=0.89; p=0.79), one year versus two years of treatment (F</w:t>
      </w:r>
      <w:r>
        <w:rPr>
          <w:iCs/>
          <w:vertAlign w:val="subscript"/>
        </w:rPr>
        <w:t>1,7</w:t>
      </w:r>
      <w:r>
        <w:rPr>
          <w:iCs/>
        </w:rPr>
        <w:t>=0.89; p=0.60). Likewise, Bluegill CPUE in large impoundments did not experience a “times-treated” effect among any group comparison (</w:t>
      </w:r>
      <w:r w:rsidRPr="00C21F7F">
        <w:rPr>
          <w:iCs/>
        </w:rPr>
        <w:t>Figure 9</w:t>
      </w:r>
      <w:r>
        <w:rPr>
          <w:iCs/>
        </w:rPr>
        <w:t>): control versus one year of treatment (F</w:t>
      </w:r>
      <w:r>
        <w:rPr>
          <w:iCs/>
          <w:vertAlign w:val="subscript"/>
        </w:rPr>
        <w:t>1,12</w:t>
      </w:r>
      <w:r>
        <w:rPr>
          <w:iCs/>
        </w:rPr>
        <w:t>=1.50; p=0.11), control versus two years of treatment (F</w:t>
      </w:r>
      <w:r>
        <w:rPr>
          <w:iCs/>
          <w:vertAlign w:val="subscript"/>
        </w:rPr>
        <w:t>1,12</w:t>
      </w:r>
      <w:r>
        <w:rPr>
          <w:iCs/>
        </w:rPr>
        <w:t>=1.50; p=0.67), one year versus two years of treatment (F</w:t>
      </w:r>
      <w:r>
        <w:rPr>
          <w:iCs/>
          <w:vertAlign w:val="subscript"/>
        </w:rPr>
        <w:t>1,12</w:t>
      </w:r>
      <w:r>
        <w:rPr>
          <w:iCs/>
        </w:rPr>
        <w:t>=1.50; p=0.56).</w:t>
      </w:r>
    </w:p>
    <w:p w14:paraId="18422D3F" w14:textId="77777777" w:rsidR="00103A7F" w:rsidRPr="00F034C9" w:rsidRDefault="00103A7F" w:rsidP="00103A7F">
      <w:pPr>
        <w:tabs>
          <w:tab w:val="left" w:pos="920"/>
        </w:tabs>
        <w:spacing w:line="480" w:lineRule="auto"/>
        <w:rPr>
          <w:iCs/>
        </w:rPr>
      </w:pPr>
      <w:r>
        <w:rPr>
          <w:iCs/>
        </w:rPr>
        <w:tab/>
        <w:t>In small impoundments, we failed to detect any change in bass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=1.86; p=0.25). We observed the same trend in age-0 bass survival rates in large impoundments, where controls versus one treatment year (F</w:t>
      </w:r>
      <w:r>
        <w:rPr>
          <w:iCs/>
          <w:vertAlign w:val="subscript"/>
        </w:rPr>
        <w:t>2,4</w:t>
      </w:r>
      <w:r>
        <w:rPr>
          <w:iCs/>
        </w:rPr>
        <w:t>=0.13; p=0.67), controls versus two treatment years (F</w:t>
      </w:r>
      <w:r>
        <w:rPr>
          <w:iCs/>
          <w:vertAlign w:val="subscript"/>
        </w:rPr>
        <w:t>2,4</w:t>
      </w:r>
      <w:r>
        <w:rPr>
          <w:iCs/>
        </w:rPr>
        <w:t>=0.13; p=0.97), and one versus two treatment years (F</w:t>
      </w:r>
      <w:r>
        <w:rPr>
          <w:iCs/>
          <w:vertAlign w:val="subscript"/>
        </w:rPr>
        <w:t>2,4</w:t>
      </w:r>
      <w:r>
        <w:rPr>
          <w:iCs/>
        </w:rPr>
        <w:t xml:space="preserve">=0.13; p=0.73) did not differ from one another. </w:t>
      </w:r>
    </w:p>
    <w:p w14:paraId="3DCE9018" w14:textId="77777777" w:rsidR="00103A7F" w:rsidRDefault="00103A7F" w:rsidP="00103A7F">
      <w:pPr>
        <w:tabs>
          <w:tab w:val="left" w:pos="920"/>
        </w:tabs>
        <w:spacing w:line="480" w:lineRule="auto"/>
        <w:rPr>
          <w:iCs/>
        </w:rPr>
      </w:pPr>
    </w:p>
    <w:p w14:paraId="387ACA20" w14:textId="2E88C318" w:rsidR="00103A7F" w:rsidRDefault="00280BCC" w:rsidP="00103A7F">
      <w:pPr>
        <w:tabs>
          <w:tab w:val="left" w:pos="920"/>
        </w:tabs>
        <w:spacing w:line="480" w:lineRule="auto"/>
        <w:rPr>
          <w:iCs/>
        </w:rPr>
      </w:pPr>
      <w:r>
        <w:rPr>
          <w:iCs/>
        </w:rPr>
        <w:lastRenderedPageBreak/>
        <w:t>[</w:t>
      </w:r>
      <w:r w:rsidR="00103A7F">
        <w:rPr>
          <w:iCs/>
        </w:rPr>
        <w:t>A</w:t>
      </w:r>
      <w:r>
        <w:rPr>
          <w:iCs/>
        </w:rPr>
        <w:t>]</w:t>
      </w:r>
      <w:r w:rsidR="00103A7F">
        <w:rPr>
          <w:iCs/>
        </w:rPr>
        <w:t>Discussion</w:t>
      </w:r>
    </w:p>
    <w:p w14:paraId="59A90C8F" w14:textId="2E33B95D" w:rsidR="00103A7F" w:rsidRDefault="00103A7F" w:rsidP="00103A7F">
      <w:pPr>
        <w:tabs>
          <w:tab w:val="left" w:pos="920"/>
        </w:tabs>
        <w:spacing w:line="480" w:lineRule="auto"/>
        <w:rPr>
          <w:iCs/>
        </w:rPr>
      </w:pPr>
      <w:r>
        <w:rPr>
          <w:iCs/>
        </w:rPr>
        <w:tab/>
        <w:t xml:space="preserve">Evaluating responses of age-0 bass and Bluegill to shoreline rotenone application in small impoundments—referring to all sizes of small impoundments—is critical to determine if this approach can be used as a management tool for recreational bass and bream small impoundment fisheries. Long-term population success for both bass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bass and Bluegill in treatment small impoundments significantly declined 24 hours after rotenone applications, whereas catches in control small impoundments did not significantly change. In large impoundments, seine haul catches of age-0 bass also significantly declined 24 hours after rotenone applications, while Bluegill seine catches did not significantly differ 24 hours post-treatment. These results are similar to observations made by </w:t>
      </w:r>
      <w:r>
        <w:rPr>
          <w:iCs/>
        </w:rPr>
        <w:fldChar w:fldCharType="begin"/>
      </w:r>
      <w:r w:rsidR="003A17E2">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bass seine catches declined in both controls and treatments by day 42, with a significantly greater decline in treatment impoundments. In large impoundments, age-0 bass seine catches also declined in both controls and treatments by the mid-summer follow-up, although the decline was not significant, unlike in small impoundments. 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bass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both small </w:t>
      </w:r>
      <w:r>
        <w:rPr>
          <w:iCs/>
        </w:rPr>
        <w:lastRenderedPageBreak/>
        <w:t xml:space="preserve">and large, control and treatment impoundments. Bluegill catches were likely less affected by temporal changes in gear vulnerability than bass because of their slower growth combined with multiple spawning events </w:t>
      </w:r>
      <w:r>
        <w:rPr>
          <w:iCs/>
        </w:rPr>
        <w:fldChar w:fldCharType="begin"/>
      </w:r>
      <w:r w:rsidR="003A17E2">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4553A91C" w14:textId="77777777" w:rsidR="00103A7F" w:rsidRDefault="00103A7F" w:rsidP="00103A7F">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358B64E0" w14:textId="77777777" w:rsidR="00103A7F" w:rsidRDefault="00103A7F" w:rsidP="00103A7F">
      <w:pPr>
        <w:tabs>
          <w:tab w:val="left" w:pos="920"/>
        </w:tabs>
        <w:spacing w:line="480" w:lineRule="auto"/>
        <w:rPr>
          <w:iCs/>
        </w:rPr>
      </w:pPr>
      <w:r>
        <w:rPr>
          <w:iCs/>
        </w:rPr>
        <w:tab/>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bass the previous summer in seine catches. However, bass recruitment reductions in large impoundments were not as pronounced. Larger impoundments tended to have more complex littoral habitats (e.g., thick emergent vegetation, overhanging terrestrial vegetation, shallow backwaters) that may have affected the efficiency of the rotenone treatment by providing temporary refuge for young-of-year bass. Ensuring rotenone spray coverage was also more difficult in complex littoral habitats. Moreover, whereas electrofishing sampling covered nearly the entire shoreline of small </w:t>
      </w:r>
      <w:r>
        <w:rPr>
          <w:iCs/>
        </w:rPr>
        <w:lastRenderedPageBreak/>
        <w:t xml:space="preserve">impoundments, it only covered a small percentage of the shoreline in large impoundments, potentially contributing to more variable electrofishing catchability and lower catches in large impoundments. </w:t>
      </w:r>
    </w:p>
    <w:p w14:paraId="3FA9A6B6" w14:textId="6E0E2CD0" w:rsidR="00103A7F" w:rsidRDefault="00103A7F" w:rsidP="00103A7F">
      <w:pPr>
        <w:tabs>
          <w:tab w:val="left" w:pos="920"/>
        </w:tabs>
        <w:spacing w:line="480" w:lineRule="auto"/>
        <w:rPr>
          <w:iCs/>
        </w:rPr>
      </w:pPr>
      <w:r>
        <w:rPr>
          <w:iCs/>
        </w:rPr>
        <w:tab/>
        <w:t xml:space="preserve">Research shows that age-0 bass in the southeastern U.S. experience a survival bottleneck via high overwinter mortality rates </w:t>
      </w:r>
      <w:r>
        <w:rPr>
          <w:iCs/>
        </w:rPr>
        <w:fldChar w:fldCharType="begin"/>
      </w:r>
      <w:r w:rsidR="003A17E2">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survival. </w:t>
      </w:r>
    </w:p>
    <w:p w14:paraId="6A6D7CF1" w14:textId="7F0F0ABE" w:rsidR="00103A7F" w:rsidRDefault="00103A7F" w:rsidP="00103A7F">
      <w:pPr>
        <w:tabs>
          <w:tab w:val="left" w:pos="920"/>
        </w:tabs>
        <w:spacing w:line="480" w:lineRule="auto"/>
        <w:rPr>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bass densities following rotenone treatment provided us an opportunity to test for density-dependent growth. In the present study, we found rotenone treatment led to increased bass MLA-1 post-treatment, </w:t>
      </w:r>
      <w:r>
        <w:rPr>
          <w:iCs/>
        </w:rPr>
        <w:lastRenderedPageBreak/>
        <w:t xml:space="preserve">particularly in impoundments &lt;12 ha. </w:t>
      </w:r>
      <w:r>
        <w:rPr>
          <w:iCs/>
        </w:rPr>
        <w:fldChar w:fldCharType="begin"/>
      </w:r>
      <w:r w:rsidR="003A17E2">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bass MLA-3 before treatment was comparable to MLA-2 after treatment. Similarly, </w:t>
      </w:r>
      <w:r>
        <w:rPr>
          <w:iCs/>
        </w:rPr>
        <w:fldChar w:fldCharType="begin"/>
      </w:r>
      <w:r w:rsidR="003A17E2">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We observed weaker growth responses in impoundments &gt;33 ha, which was consistent with smaller density reductions in those impoundments. Further research is needed to assess differences more definitively in growth responses as a function of impoundment size following rotenone treatment. Although bass MLA-1 increased following rotenone treatment, we found no effect on MLA-0 in mid-summer seine catches. We speculate that seines were biased against collection of larger age-0 bass </w:t>
      </w:r>
      <w:r>
        <w:rPr>
          <w:iCs/>
        </w:rPr>
        <w:fldChar w:fldCharType="begin"/>
      </w:r>
      <w:r>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thereby masking treatment effects, or perhaps density-dependent growth responses require more time for cumulative growth differences to emerge. Moreover, no age-0 bass were captured in mid-summer seine hauls at six of the treatment impoundments, so mean lengths may not have been representative of all impoundments.</w:t>
      </w:r>
    </w:p>
    <w:p w14:paraId="055F07D1" w14:textId="09AD3A0D" w:rsidR="00103A7F" w:rsidRPr="0012017F" w:rsidRDefault="00103A7F" w:rsidP="00103A7F">
      <w:pPr>
        <w:tabs>
          <w:tab w:val="left" w:pos="920"/>
        </w:tabs>
        <w:spacing w:line="480" w:lineRule="auto"/>
        <w:rPr>
          <w:iCs/>
        </w:rPr>
      </w:pPr>
      <w:r>
        <w:rPr>
          <w:iCs/>
        </w:rPr>
        <w:tab/>
        <w:t xml:space="preserve">Prey availability and size also affect fish growth </w:t>
      </w:r>
      <w:r>
        <w:rPr>
          <w:iCs/>
        </w:rPr>
        <w:fldChar w:fldCharType="begin"/>
      </w:r>
      <w:r w:rsidR="003A17E2">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xml:space="preserve">. With reduced intraspecific competition and large numbers of juvenile Bluegill still present after rotenone treatment—as we found no rotenone effect on Bluegill densities in the mid-summer seine catches—bass prey availability should be plentiful. Age-1 bass growth increased after rotenone treatment (discussed above); therefore, future studies should assess if stock-size Bluegill and age-2+ bass growth, condition, and diet differences exist after rotenone applications in different-sized impoundments. It is important to consider effects of rotenone application on non-target species and life stages. For instance, McHugh (1990) reported that small numbers of non-target fishes (e.g., larger Bluegill and bass, Grass Carp </w:t>
      </w:r>
      <w:r>
        <w:rPr>
          <w:i/>
        </w:rPr>
        <w:t xml:space="preserve">Ctenopharyngodon </w:t>
      </w:r>
      <w:r>
        <w:rPr>
          <w:i/>
        </w:rPr>
        <w:lastRenderedPageBreak/>
        <w:t>idella</w:t>
      </w:r>
      <w:r>
        <w:rPr>
          <w:iCs/>
        </w:rPr>
        <w:t xml:space="preserve">) were killed during the shoreline rotenone treatment. In the present study, we did not assess age 2+ bass responses to the rotenone treatment; however, effects on older bass age classes would be of interest in determining the overall value of this approach. Avoiding high rotenone-related mortality of age 2+ bass in efforts to reduce recruitment is desirable given that these fish are catchable sized. </w:t>
      </w:r>
    </w:p>
    <w:p w14:paraId="29BB7D5F" w14:textId="77777777" w:rsidR="00103A7F" w:rsidRDefault="00103A7F" w:rsidP="00103A7F">
      <w:pPr>
        <w:tabs>
          <w:tab w:val="left" w:pos="920"/>
        </w:tabs>
        <w:spacing w:line="480" w:lineRule="auto"/>
        <w:rPr>
          <w:iCs/>
        </w:rPr>
      </w:pPr>
    </w:p>
    <w:p w14:paraId="18C571F1" w14:textId="2EF32681" w:rsidR="00103A7F" w:rsidRDefault="00280BCC" w:rsidP="00103A7F">
      <w:pPr>
        <w:tabs>
          <w:tab w:val="left" w:pos="920"/>
        </w:tabs>
        <w:spacing w:line="480" w:lineRule="auto"/>
        <w:rPr>
          <w:iCs/>
        </w:rPr>
      </w:pPr>
      <w:r>
        <w:rPr>
          <w:iCs/>
        </w:rPr>
        <w:t>[</w:t>
      </w:r>
      <w:r w:rsidR="00103A7F">
        <w:rPr>
          <w:iCs/>
        </w:rPr>
        <w:t>A</w:t>
      </w:r>
      <w:r>
        <w:rPr>
          <w:iCs/>
        </w:rPr>
        <w:t>]</w:t>
      </w:r>
      <w:r w:rsidR="00103A7F">
        <w:rPr>
          <w:iCs/>
        </w:rPr>
        <w:t xml:space="preserve">Management Implications </w:t>
      </w:r>
    </w:p>
    <w:p w14:paraId="06F92CC6" w14:textId="69B0E884" w:rsidR="0080493E" w:rsidRDefault="00103A7F" w:rsidP="00103A7F">
      <w:pPr>
        <w:spacing w:line="480" w:lineRule="auto"/>
      </w:pPr>
      <w:r>
        <w:tab/>
        <w:t xml:space="preserve">Shoreline rotenone application can be used to reduce recruitment of bass in small and large impoundments, but the efficacy of this approach depends on impoundment surface area. We found shoreline rotenone application to improve age-1 bass growth rates without impacting Bluegill densities in our impoundments. This improvement was evident after one year of rotenone application, while an additional year of rotenone application resulted in no further improvement. 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Shoreline rotenone application appears to be best suited for enhancing bass populations in impoundments &lt;12 ha. An important subject for future research would be to assess the effects of this shoreline rotenone application on non-target species population parameters (e.g., age-2+ bass growth, condition, and diets, and stock-size Bluegill condition). Additionally, McHugh (1990) found that combined shoreline rotenone application and targeted removal via electrofishing impacted fish populations for a few years after initial application. As such, our shoreline rotenone application technique may need to </w:t>
      </w:r>
      <w:r>
        <w:lastRenderedPageBreak/>
        <w:t>be repeated at regular intervals (e.g., 2–4 years), another important subject for future research in impoundment management.</w:t>
      </w:r>
    </w:p>
    <w:p w14:paraId="04FFCA60" w14:textId="77777777" w:rsidR="0080493E" w:rsidRDefault="0080493E" w:rsidP="0080493E">
      <w:pPr>
        <w:spacing w:line="480" w:lineRule="auto"/>
      </w:pPr>
    </w:p>
    <w:p w14:paraId="01D97281" w14:textId="3B6B583B" w:rsidR="00C864A4" w:rsidRDefault="00C864A4" w:rsidP="00C864A4">
      <w:pPr>
        <w:tabs>
          <w:tab w:val="left" w:pos="920"/>
        </w:tabs>
        <w:spacing w:line="480" w:lineRule="auto"/>
      </w:pPr>
      <w:r>
        <w:t>[A]Acknowledgements</w:t>
      </w:r>
    </w:p>
    <w:p w14:paraId="0E0A6980" w14:textId="7C05B969" w:rsidR="00C864A4" w:rsidRDefault="00C864A4" w:rsidP="00C864A4">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Williams, Lee </w:t>
      </w:r>
      <w:r w:rsidR="001C0BDE">
        <w:t xml:space="preserve">W. </w:t>
      </w:r>
      <w:r w:rsidRPr="00C00A02">
        <w:t>Meriwether</w:t>
      </w:r>
      <w:r w:rsidR="001C0BDE">
        <w:t xml:space="preserve"> III</w:t>
      </w:r>
      <w:r w:rsidRPr="00C00A02">
        <w:t>, Bob Henderson, The Anderson’s, and Larry Drummond.</w:t>
      </w:r>
      <w:r>
        <w:t xml:space="preserve"> The authors declare no conflict of interest. </w:t>
      </w:r>
    </w:p>
    <w:p w14:paraId="407E148A" w14:textId="77777777" w:rsidR="00C864A4" w:rsidRDefault="00C864A4" w:rsidP="00C864A4">
      <w:pPr>
        <w:tabs>
          <w:tab w:val="left" w:pos="920"/>
        </w:tabs>
        <w:spacing w:line="480" w:lineRule="auto"/>
      </w:pPr>
    </w:p>
    <w:p w14:paraId="23F3F4AE" w14:textId="5BA00A43" w:rsidR="00485D4D" w:rsidRDefault="00C864A4" w:rsidP="00C864A4">
      <w:pPr>
        <w:spacing w:line="480" w:lineRule="auto"/>
      </w:pPr>
      <w:r>
        <w:t>[A]References</w:t>
      </w:r>
    </w:p>
    <w:p w14:paraId="18869F0A" w14:textId="77777777" w:rsidR="003A17E2" w:rsidRPr="003A17E2" w:rsidRDefault="00C864A4" w:rsidP="003A17E2">
      <w:pPr>
        <w:pStyle w:val="Bibliography"/>
      </w:pPr>
      <w:r>
        <w:fldChar w:fldCharType="begin"/>
      </w:r>
      <w:r w:rsidR="003A17E2">
        <w:instrText xml:space="preserve"> ADDIN ZOTERO_BIBL {"uncited":[],"omitted":[],"custom":[]} CSL_BIBLIOGRAPHY </w:instrText>
      </w:r>
      <w:r>
        <w:fldChar w:fldCharType="separate"/>
      </w:r>
      <w:proofErr w:type="spellStart"/>
      <w:r w:rsidR="003A17E2" w:rsidRPr="003A17E2">
        <w:t>Aday</w:t>
      </w:r>
      <w:proofErr w:type="spellEnd"/>
      <w:r w:rsidR="003A17E2" w:rsidRPr="003A17E2">
        <w:t xml:space="preserve">, D. D., and B. D. S. </w:t>
      </w:r>
      <w:proofErr w:type="spellStart"/>
      <w:r w:rsidR="003A17E2" w:rsidRPr="003A17E2">
        <w:t>Graeb</w:t>
      </w:r>
      <w:proofErr w:type="spellEnd"/>
      <w:r w:rsidR="003A17E2" w:rsidRPr="003A17E2">
        <w:t xml:space="preserve">. 2012. Stunted fish in small impoundments: an overview and management perspective. Pages 215–232 </w:t>
      </w:r>
      <w:r w:rsidR="003A17E2" w:rsidRPr="003A17E2">
        <w:rPr>
          <w:i/>
          <w:iCs/>
        </w:rPr>
        <w:t>in</w:t>
      </w:r>
      <w:r w:rsidR="003A17E2" w:rsidRPr="003A17E2">
        <w:t xml:space="preserve"> J. W. Neal and D. W. Willis, editors. Small impoundment management in North America. American Fisheries Society, Bethesda, Maryland.</w:t>
      </w:r>
    </w:p>
    <w:p w14:paraId="7F8FF13C" w14:textId="77777777" w:rsidR="003A17E2" w:rsidRPr="003A17E2" w:rsidRDefault="003A17E2" w:rsidP="003A17E2">
      <w:pPr>
        <w:pStyle w:val="Bibliography"/>
      </w:pPr>
      <w:proofErr w:type="spellStart"/>
      <w:r w:rsidRPr="003A17E2">
        <w:t>Aggus</w:t>
      </w:r>
      <w:proofErr w:type="spellEnd"/>
      <w:r w:rsidRPr="003A17E2">
        <w:t xml:space="preserve">, L. R., and G. V. Elliott. 1975. Effects of cover and food on year-class strength of Largemouth Bass. Pages 317–322 </w:t>
      </w:r>
      <w:r w:rsidRPr="003A17E2">
        <w:rPr>
          <w:i/>
          <w:iCs/>
        </w:rPr>
        <w:t>in</w:t>
      </w:r>
      <w:r w:rsidRPr="003A17E2">
        <w:t xml:space="preserve"> R. H. Stroud and H. </w:t>
      </w:r>
      <w:proofErr w:type="spellStart"/>
      <w:r w:rsidRPr="003A17E2">
        <w:t>Clepper</w:t>
      </w:r>
      <w:proofErr w:type="spellEnd"/>
      <w:r w:rsidRPr="003A17E2">
        <w:t>, editors. Black bass biology and management. Sport Fishing Institute, Washington, D.C., USA.</w:t>
      </w:r>
    </w:p>
    <w:p w14:paraId="50268A40" w14:textId="77777777" w:rsidR="003A17E2" w:rsidRPr="003A17E2" w:rsidRDefault="003A17E2" w:rsidP="003A17E2">
      <w:pPr>
        <w:pStyle w:val="Bibliography"/>
      </w:pPr>
      <w:r w:rsidRPr="003A17E2">
        <w:t xml:space="preserve">Allen, M. S., and J. E. Hightower. 2010. Fish population dynamics: mortality, growth, and recruitment. Pages 43–80 </w:t>
      </w:r>
      <w:r w:rsidRPr="003A17E2">
        <w:rPr>
          <w:i/>
          <w:iCs/>
        </w:rPr>
        <w:t>in</w:t>
      </w:r>
      <w:r w:rsidRPr="003A17E2">
        <w:t xml:space="preserve"> W. A. Hubert and M. C. Quist, editors. Inland fisheries management in North America, 3rd edition. American Fisheries Society, Bethesda, Maryland.</w:t>
      </w:r>
    </w:p>
    <w:p w14:paraId="7192920A" w14:textId="77777777" w:rsidR="003A17E2" w:rsidRPr="003A17E2" w:rsidRDefault="003A17E2" w:rsidP="003A17E2">
      <w:pPr>
        <w:pStyle w:val="Bibliography"/>
      </w:pPr>
      <w:r w:rsidRPr="003A17E2">
        <w:t>Allen, M. S., C. J. Walters, and R. Myers. 2008. Temporal trends in Largemouth Bass mortality, with fishery implications. North American Journal of Fisheries Management 28(2):418–427.</w:t>
      </w:r>
    </w:p>
    <w:p w14:paraId="1EF96CD7" w14:textId="77777777" w:rsidR="003A17E2" w:rsidRPr="003A17E2" w:rsidRDefault="003A17E2" w:rsidP="003A17E2">
      <w:pPr>
        <w:pStyle w:val="Bibliography"/>
      </w:pPr>
      <w:r w:rsidRPr="003A17E2">
        <w:lastRenderedPageBreak/>
        <w:t xml:space="preserve">Bartlett, J. A., M. P. Ward, S. J. Landsman, and J. M. Epifanio. 2010. Nest-site fidelity in parental male bluegill </w:t>
      </w:r>
      <w:r w:rsidRPr="003A17E2">
        <w:rPr>
          <w:i/>
          <w:iCs/>
        </w:rPr>
        <w:t>Lepomis macrochirus</w:t>
      </w:r>
      <w:r w:rsidRPr="003A17E2">
        <w:t>: spatial patterns and the influence of prior mating success. Journal of Fish Biology 77(4):890–906.</w:t>
      </w:r>
    </w:p>
    <w:p w14:paraId="61D13A76" w14:textId="77777777" w:rsidR="003A17E2" w:rsidRPr="003A17E2" w:rsidRDefault="003A17E2" w:rsidP="003A17E2">
      <w:pPr>
        <w:pStyle w:val="Bibliography"/>
      </w:pPr>
      <w:r w:rsidRPr="003A17E2">
        <w:t xml:space="preserve">Beckman, W. C. 1941. Increased growth rate of rock bass, </w:t>
      </w:r>
      <w:r w:rsidRPr="003A17E2">
        <w:rPr>
          <w:i/>
          <w:iCs/>
        </w:rPr>
        <w:t>Ambloplites Rupestris</w:t>
      </w:r>
      <w:r w:rsidRPr="003A17E2">
        <w:t xml:space="preserve"> (Rafinesque), following reduction in the density of the population. Transactions of the American Fisheries Society 70(1):143–148.</w:t>
      </w:r>
    </w:p>
    <w:p w14:paraId="32BCB036" w14:textId="77777777" w:rsidR="003A17E2" w:rsidRPr="003A17E2" w:rsidRDefault="003A17E2" w:rsidP="003A17E2">
      <w:pPr>
        <w:pStyle w:val="Bibliography"/>
      </w:pPr>
      <w:r w:rsidRPr="003A17E2">
        <w:t>Bennett, G. W. 1970. Management of lakes and ponds. 2nd edition. Van Nostrand Reinhold Company, New York.</w:t>
      </w:r>
    </w:p>
    <w:p w14:paraId="0BC0DE50" w14:textId="77777777" w:rsidR="003A17E2" w:rsidRPr="003A17E2" w:rsidRDefault="003A17E2" w:rsidP="003A17E2">
      <w:pPr>
        <w:pStyle w:val="Bibliography"/>
      </w:pPr>
      <w:proofErr w:type="spellStart"/>
      <w:r w:rsidRPr="003A17E2">
        <w:t>Bonvechio</w:t>
      </w:r>
      <w:proofErr w:type="spellEnd"/>
      <w:r w:rsidRPr="003A17E2">
        <w:t xml:space="preserve">, T. F., B. R. Bowen, J. M. </w:t>
      </w:r>
      <w:proofErr w:type="spellStart"/>
      <w:r w:rsidRPr="003A17E2">
        <w:t>Wixson</w:t>
      </w:r>
      <w:proofErr w:type="spellEnd"/>
      <w:r w:rsidRPr="003A17E2">
        <w:t>, and M. S. Allen. 2014. Exploitation and length limit evaluation of Largemouth Bass in three Georgia small impoundments. Journal of the Southeastern Association of Fish and Wildlife Agencies 1:33–41.</w:t>
      </w:r>
    </w:p>
    <w:p w14:paraId="011D5C9D" w14:textId="77777777" w:rsidR="003A17E2" w:rsidRPr="003A17E2" w:rsidRDefault="003A17E2" w:rsidP="003A17E2">
      <w:pPr>
        <w:pStyle w:val="Bibliography"/>
      </w:pPr>
      <w:r w:rsidRPr="003A17E2">
        <w:t>Brenden, T. O., and B. R. Murphy. 2004. Experimental assessment of age-0 Largemouth Bass and juvenile Bluegill competition in a small impoundment in Virginia. North American Journal of Fisheries Management 24(3):1058–1070.</w:t>
      </w:r>
    </w:p>
    <w:p w14:paraId="5E769354" w14:textId="77777777" w:rsidR="003A17E2" w:rsidRPr="003A17E2" w:rsidRDefault="003A17E2" w:rsidP="003A17E2">
      <w:pPr>
        <w:pStyle w:val="Bibliography"/>
      </w:pPr>
      <w:proofErr w:type="spellStart"/>
      <w:r w:rsidRPr="003A17E2">
        <w:t>Cargnelli</w:t>
      </w:r>
      <w:proofErr w:type="spellEnd"/>
      <w:r w:rsidRPr="003A17E2">
        <w:t xml:space="preserve">, L. M., and B. D. Neff. 2006. Condition-dependent nesting in bluegill sunfish </w:t>
      </w:r>
      <w:r w:rsidRPr="003A17E2">
        <w:rPr>
          <w:i/>
          <w:iCs/>
        </w:rPr>
        <w:t>Lepomis macrochirus</w:t>
      </w:r>
      <w:r w:rsidRPr="003A17E2">
        <w:t>. Journal of Animal Ecology 75(3):627–633.</w:t>
      </w:r>
    </w:p>
    <w:p w14:paraId="05FEE260" w14:textId="77777777" w:rsidR="003A17E2" w:rsidRPr="003A17E2" w:rsidRDefault="003A17E2" w:rsidP="003A17E2">
      <w:pPr>
        <w:pStyle w:val="Bibliography"/>
      </w:pPr>
      <w:r w:rsidRPr="003A17E2">
        <w:t xml:space="preserve">Carlson, A. J., and D. A. </w:t>
      </w:r>
      <w:proofErr w:type="spellStart"/>
      <w:r w:rsidRPr="003A17E2">
        <w:t>Isermann</w:t>
      </w:r>
      <w:proofErr w:type="spellEnd"/>
      <w:r w:rsidRPr="003A17E2">
        <w:t>. 2010. Mandatory catch and release and maximum length limits for Largemouth Bass in Minnesota: is exploitation still a relevant concern? North American Journal of Fisheries Management 30(1):209–220.</w:t>
      </w:r>
    </w:p>
    <w:p w14:paraId="1E3F2830" w14:textId="77777777" w:rsidR="003A17E2" w:rsidRPr="003A17E2" w:rsidRDefault="003A17E2" w:rsidP="003A17E2">
      <w:pPr>
        <w:pStyle w:val="Bibliography"/>
      </w:pPr>
      <w:r w:rsidRPr="003A17E2">
        <w:t xml:space="preserve">Chaney, P. L., C. E. Boyd, and E. </w:t>
      </w:r>
      <w:proofErr w:type="spellStart"/>
      <w:r w:rsidRPr="003A17E2">
        <w:t>Polioudakis</w:t>
      </w:r>
      <w:proofErr w:type="spellEnd"/>
      <w:r w:rsidRPr="003A17E2">
        <w:t>. 2012. Number, size, distribution, and hydrologic role of small impoundments in Alabama. Journal of Soil and Water Conservation 67(2):111–121.</w:t>
      </w:r>
    </w:p>
    <w:p w14:paraId="77F56C76" w14:textId="77777777" w:rsidR="003A17E2" w:rsidRPr="003A17E2" w:rsidRDefault="003A17E2" w:rsidP="003A17E2">
      <w:pPr>
        <w:pStyle w:val="Bibliography"/>
      </w:pPr>
      <w:r w:rsidRPr="003A17E2">
        <w:t xml:space="preserve">Claussen, J. E. 2015. Largemouth bass </w:t>
      </w:r>
      <w:r w:rsidRPr="003A17E2">
        <w:rPr>
          <w:i/>
          <w:iCs/>
        </w:rPr>
        <w:t>Micropterus salmoides</w:t>
      </w:r>
      <w:r w:rsidRPr="003A17E2">
        <w:t xml:space="preserve"> (</w:t>
      </w:r>
      <w:proofErr w:type="spellStart"/>
      <w:r w:rsidRPr="003A17E2">
        <w:t>Lacepede</w:t>
      </w:r>
      <w:proofErr w:type="spellEnd"/>
      <w:r w:rsidRPr="003A17E2">
        <w:t xml:space="preserve">, 1802). Pages 27–34 </w:t>
      </w:r>
      <w:r w:rsidRPr="003A17E2">
        <w:rPr>
          <w:i/>
          <w:iCs/>
        </w:rPr>
        <w:t>in</w:t>
      </w:r>
      <w:r w:rsidRPr="003A17E2">
        <w:t xml:space="preserve"> M. D. </w:t>
      </w:r>
      <w:proofErr w:type="spellStart"/>
      <w:r w:rsidRPr="003A17E2">
        <w:t>Tringali</w:t>
      </w:r>
      <w:proofErr w:type="spellEnd"/>
      <w:r w:rsidRPr="003A17E2">
        <w:t>, J. M. Long, T. W. Birdsong, and M. S. Allen, editors. Black bass diversity multidisciplinary science for conservation. American Fisheries Society, Symposium 82, Bethesda, Maryland.</w:t>
      </w:r>
    </w:p>
    <w:p w14:paraId="1D4EDF75" w14:textId="77777777" w:rsidR="003A17E2" w:rsidRPr="003A17E2" w:rsidRDefault="003A17E2" w:rsidP="003A17E2">
      <w:pPr>
        <w:pStyle w:val="Bibliography"/>
      </w:pPr>
      <w:proofErr w:type="spellStart"/>
      <w:r w:rsidRPr="003A17E2">
        <w:t>Dauwalter</w:t>
      </w:r>
      <w:proofErr w:type="spellEnd"/>
      <w:r w:rsidRPr="003A17E2">
        <w:t>, D. C., and J. R. Jackson. 2005. A re-evaluation of U.S. state fish-stocking recommendations for small, private, warmwater impoundments. Fisheries 30(8):18–28.</w:t>
      </w:r>
    </w:p>
    <w:p w14:paraId="75DF5741" w14:textId="77777777" w:rsidR="003A17E2" w:rsidRPr="003A17E2" w:rsidRDefault="003A17E2" w:rsidP="003A17E2">
      <w:pPr>
        <w:pStyle w:val="Bibliography"/>
      </w:pPr>
      <w:r w:rsidRPr="003A17E2">
        <w:t xml:space="preserve">DeVries, D. R., and R. V. </w:t>
      </w:r>
      <w:proofErr w:type="spellStart"/>
      <w:r w:rsidRPr="003A17E2">
        <w:t>Frie</w:t>
      </w:r>
      <w:proofErr w:type="spellEnd"/>
      <w:r w:rsidRPr="003A17E2">
        <w:t xml:space="preserve">. 1996. Determination of age and growth. Pages 483–512 </w:t>
      </w:r>
      <w:r w:rsidRPr="003A17E2">
        <w:rPr>
          <w:i/>
          <w:iCs/>
        </w:rPr>
        <w:t>in</w:t>
      </w:r>
      <w:r w:rsidRPr="003A17E2">
        <w:t xml:space="preserve"> B. R. Murphy and D. W. Willis, editors. Fisheries techniques, 2nd edition. American Fisheries Society, Bethesda, Maryland.</w:t>
      </w:r>
    </w:p>
    <w:p w14:paraId="14234AF5" w14:textId="77777777" w:rsidR="003A17E2" w:rsidRPr="003A17E2" w:rsidRDefault="003A17E2" w:rsidP="003A17E2">
      <w:pPr>
        <w:pStyle w:val="Bibliography"/>
      </w:pPr>
      <w:r w:rsidRPr="003A17E2">
        <w:t>Eder, S. 1984. Effectiveness of an imposed slot length limit of 12.0-14.9 inches on Largemouth Bass. North American Journal of Fisheries Management 4(4B):469–478.</w:t>
      </w:r>
    </w:p>
    <w:p w14:paraId="28FF53AD" w14:textId="77777777" w:rsidR="003A17E2" w:rsidRPr="003A17E2" w:rsidRDefault="003A17E2" w:rsidP="003A17E2">
      <w:pPr>
        <w:pStyle w:val="Bibliography"/>
      </w:pPr>
      <w:r w:rsidRPr="003A17E2">
        <w:t xml:space="preserve">Finlayson, B. J., R. A. </w:t>
      </w:r>
      <w:proofErr w:type="spellStart"/>
      <w:r w:rsidRPr="003A17E2">
        <w:t>Schnick</w:t>
      </w:r>
      <w:proofErr w:type="spellEnd"/>
      <w:r w:rsidRPr="003A17E2">
        <w:t xml:space="preserve">, R. L. </w:t>
      </w:r>
      <w:proofErr w:type="spellStart"/>
      <w:r w:rsidRPr="003A17E2">
        <w:t>Cailteux</w:t>
      </w:r>
      <w:proofErr w:type="spellEnd"/>
      <w:r w:rsidRPr="003A17E2">
        <w:t xml:space="preserve">, L. </w:t>
      </w:r>
      <w:proofErr w:type="spellStart"/>
      <w:r w:rsidRPr="003A17E2">
        <w:t>DeMong</w:t>
      </w:r>
      <w:proofErr w:type="spellEnd"/>
      <w:r w:rsidRPr="003A17E2">
        <w:t xml:space="preserve">, W. D. Horton, W. McClay, C. W. Thompson, and G. J. </w:t>
      </w:r>
      <w:proofErr w:type="spellStart"/>
      <w:r w:rsidRPr="003A17E2">
        <w:t>Tichacek</w:t>
      </w:r>
      <w:proofErr w:type="spellEnd"/>
      <w:r w:rsidRPr="003A17E2">
        <w:t>, editors. 2000. Rotenone use in fisheries management. American Fisheries Society, Bethesda, Maryland.</w:t>
      </w:r>
    </w:p>
    <w:p w14:paraId="6639CFF0" w14:textId="77777777" w:rsidR="003A17E2" w:rsidRPr="003A17E2" w:rsidRDefault="003A17E2" w:rsidP="003A17E2">
      <w:pPr>
        <w:pStyle w:val="Bibliography"/>
      </w:pPr>
      <w:r w:rsidRPr="003A17E2">
        <w:t>Funk, J. L. 1974. Symposium on overharvest and management of Largemouth Bass in small impoundments. American Fisheries Society, North Central Division, Special Publication 3, Bethesda, Maryland.</w:t>
      </w:r>
    </w:p>
    <w:p w14:paraId="52EB1DF3" w14:textId="77777777" w:rsidR="003A17E2" w:rsidRPr="003A17E2" w:rsidRDefault="003A17E2" w:rsidP="003A17E2">
      <w:pPr>
        <w:pStyle w:val="Bibliography"/>
      </w:pPr>
      <w:proofErr w:type="spellStart"/>
      <w:r w:rsidRPr="003A17E2">
        <w:t>Gabelhouse</w:t>
      </w:r>
      <w:proofErr w:type="spellEnd"/>
      <w:r w:rsidRPr="003A17E2">
        <w:t>, D. W. 1987. Responses of Largemouth Bass and Bluegills to removal of surplus Largemouth Bass from a Kansas pond. North American Journal of Fisheries Management 7(1):81–90.</w:t>
      </w:r>
    </w:p>
    <w:p w14:paraId="20E8E578" w14:textId="77777777" w:rsidR="003A17E2" w:rsidRPr="003A17E2" w:rsidRDefault="003A17E2" w:rsidP="003A17E2">
      <w:pPr>
        <w:pStyle w:val="Bibliography"/>
      </w:pPr>
      <w:r w:rsidRPr="003A17E2">
        <w:t xml:space="preserve">Garvey, J., R. Stein, R. Wright, and M. </w:t>
      </w:r>
      <w:proofErr w:type="spellStart"/>
      <w:r w:rsidRPr="003A17E2">
        <w:t>Bremigan</w:t>
      </w:r>
      <w:proofErr w:type="spellEnd"/>
      <w:r w:rsidRPr="003A17E2">
        <w:t xml:space="preserve">. 2002. Exploring ecological mechanisms underlying Largemouth Bass recruitment along environmental gradients. Pages 7–23 </w:t>
      </w:r>
      <w:r w:rsidRPr="003A17E2">
        <w:rPr>
          <w:i/>
          <w:iCs/>
        </w:rPr>
        <w:t>in</w:t>
      </w:r>
      <w:r w:rsidRPr="003A17E2">
        <w:t xml:space="preserve"> D. P. Philipp and M. S. Ridgway, editors. Black bass: ecology, conservation, and management. American Fisheries Society, Symposium 31, Bethesda, Maryland.</w:t>
      </w:r>
    </w:p>
    <w:p w14:paraId="21B7FF8B" w14:textId="77777777" w:rsidR="003A17E2" w:rsidRPr="003A17E2" w:rsidRDefault="003A17E2" w:rsidP="003A17E2">
      <w:pPr>
        <w:pStyle w:val="Bibliography"/>
      </w:pPr>
      <w:proofErr w:type="spellStart"/>
      <w:r w:rsidRPr="003A17E2">
        <w:lastRenderedPageBreak/>
        <w:t>Geihsler</w:t>
      </w:r>
      <w:proofErr w:type="spellEnd"/>
      <w:r w:rsidRPr="003A17E2">
        <w:t>, M. R., and D. R. Holder. 1983. Status of fish populations in Georgia ponds 1‐4 years after stocking. North American Journal of Fisheries Management 3(2):189–196.</w:t>
      </w:r>
    </w:p>
    <w:p w14:paraId="2AD32DE5" w14:textId="77777777" w:rsidR="003A17E2" w:rsidRPr="003A17E2" w:rsidRDefault="003A17E2" w:rsidP="003A17E2">
      <w:pPr>
        <w:pStyle w:val="Bibliography"/>
      </w:pPr>
      <w:r w:rsidRPr="003A17E2">
        <w:t>Guy, C. S., and D. W. Willis. 1990. Structural relationships of Largemouth Bass and Bluegill populations in South Dakota ponds. North American Journal of Fisheries Management 10(3):338–343.</w:t>
      </w:r>
    </w:p>
    <w:p w14:paraId="02947F17" w14:textId="77777777" w:rsidR="003A17E2" w:rsidRPr="003A17E2" w:rsidRDefault="003A17E2" w:rsidP="003A17E2">
      <w:pPr>
        <w:pStyle w:val="Bibliography"/>
      </w:pPr>
      <w:r w:rsidRPr="003A17E2">
        <w:t>Haley, N. V., R. A. Wright, D. R. DeVries, and M. S. Allen. 2012. Privately owned small impoundments in central Alabama: a survey and evaluation of management techniques for Largemouth Bass and Bluegill. North American Journal of Fisheries Management 32(6):1180–1190.</w:t>
      </w:r>
    </w:p>
    <w:p w14:paraId="15DC411E" w14:textId="77777777" w:rsidR="003A17E2" w:rsidRPr="003A17E2" w:rsidRDefault="003A17E2" w:rsidP="003A17E2">
      <w:pPr>
        <w:pStyle w:val="Bibliography"/>
      </w:pPr>
      <w:proofErr w:type="spellStart"/>
      <w:r w:rsidRPr="003A17E2">
        <w:t>Hangsleben</w:t>
      </w:r>
      <w:proofErr w:type="spellEnd"/>
      <w:r w:rsidRPr="003A17E2">
        <w:t>, M. A., M. S. Allen, and D. C. Gwinn. 2013. Evaluation of electrofishing catch per unit effort for indexing fish abundance in Florida Lakes. Transactions of the American Fisheries Society 142(1):247–256.</w:t>
      </w:r>
    </w:p>
    <w:p w14:paraId="3DBAD260" w14:textId="77777777" w:rsidR="003A17E2" w:rsidRPr="003A17E2" w:rsidRDefault="003A17E2" w:rsidP="003A17E2">
      <w:pPr>
        <w:pStyle w:val="Bibliography"/>
      </w:pPr>
      <w:r w:rsidRPr="003A17E2">
        <w:t>Heath, M. R. 1992. Field investigations of the early life stages of marine fish. Advances in Marine Biology 28:1–174.</w:t>
      </w:r>
    </w:p>
    <w:p w14:paraId="43257960" w14:textId="77777777" w:rsidR="003A17E2" w:rsidRPr="003A17E2" w:rsidRDefault="003A17E2" w:rsidP="003A17E2">
      <w:pPr>
        <w:pStyle w:val="Bibliography"/>
      </w:pPr>
      <w:r w:rsidRPr="003A17E2">
        <w:t>Jackson, J. R., and R. L. Noble. 1995. Selectivity of sampling methods for juvenile Largemouth Bass in assessments of recruitment processes. North American Journal of Fisheries Management 15(2):408–418.</w:t>
      </w:r>
    </w:p>
    <w:p w14:paraId="0FAE432D" w14:textId="77777777" w:rsidR="003A17E2" w:rsidRPr="003A17E2" w:rsidRDefault="003A17E2" w:rsidP="003A17E2">
      <w:pPr>
        <w:pStyle w:val="Bibliography"/>
      </w:pPr>
      <w:r w:rsidRPr="003A17E2">
        <w:t>Kelso, W. E. 1983. Trophic overlap and competition among juvenile littoral fishes in Claytor Lake, Virginia. Doctoral dissertation. Virginia Polytechnic Institute and State University, Blacksburg, Virginia.</w:t>
      </w:r>
    </w:p>
    <w:p w14:paraId="2B53CD05" w14:textId="77777777" w:rsidR="003A17E2" w:rsidRPr="003A17E2" w:rsidRDefault="003A17E2" w:rsidP="003A17E2">
      <w:pPr>
        <w:pStyle w:val="Bibliography"/>
      </w:pPr>
      <w:r w:rsidRPr="003A17E2">
        <w:t>Kramer, R. H., and L. L. Smith. 1962. Formation of year classes in Largemouth Bass. Transactions of the American Fisheries Society 91(1):29–41.</w:t>
      </w:r>
    </w:p>
    <w:p w14:paraId="48ED1115" w14:textId="77777777" w:rsidR="003A17E2" w:rsidRPr="003A17E2" w:rsidRDefault="003A17E2" w:rsidP="003A17E2">
      <w:pPr>
        <w:pStyle w:val="Bibliography"/>
      </w:pPr>
      <w:proofErr w:type="spellStart"/>
      <w:r w:rsidRPr="003A17E2">
        <w:t>Laarman</w:t>
      </w:r>
      <w:proofErr w:type="spellEnd"/>
      <w:r w:rsidRPr="003A17E2">
        <w:t>, P. W., and J. C. Schneider. 2004. Maturity and fecundity of Largemouth Bass as a function of age and size. University of Michigan Library, Fisheries Research, Report 1931, Ann Arbor, Michigan.</w:t>
      </w:r>
    </w:p>
    <w:p w14:paraId="49B52B6B" w14:textId="77777777" w:rsidR="003A17E2" w:rsidRPr="003A17E2" w:rsidRDefault="003A17E2" w:rsidP="003A17E2">
      <w:pPr>
        <w:pStyle w:val="Bibliography"/>
      </w:pPr>
      <w:proofErr w:type="spellStart"/>
      <w:r w:rsidRPr="003A17E2">
        <w:t>Ludsin</w:t>
      </w:r>
      <w:proofErr w:type="spellEnd"/>
      <w:r w:rsidRPr="003A17E2">
        <w:t>, S. A., and D. R. DeVries. 1997. First-year recruitment of Largemouth Bass: the interdependency of early life stages. Ecological Applications 7(3):1024–1038.</w:t>
      </w:r>
    </w:p>
    <w:p w14:paraId="464F8B13" w14:textId="77777777" w:rsidR="003A17E2" w:rsidRPr="003A17E2" w:rsidRDefault="003A17E2" w:rsidP="003A17E2">
      <w:pPr>
        <w:pStyle w:val="Bibliography"/>
      </w:pPr>
      <w:r w:rsidRPr="003A17E2">
        <w:t>McClay, W. 2000. Rotenone use in North America (1988–1997). Fisheries 25(5):15–21.</w:t>
      </w:r>
    </w:p>
    <w:p w14:paraId="7497449F" w14:textId="77777777" w:rsidR="003A17E2" w:rsidRPr="003A17E2" w:rsidRDefault="003A17E2" w:rsidP="003A17E2">
      <w:pPr>
        <w:pStyle w:val="Bibliography"/>
      </w:pPr>
      <w:r w:rsidRPr="003A17E2">
        <w:t>McHugh, J. J. 1990. Responses of Bluegills and crappies to reduced abundance of Largemouth Bass in two Alabama impoundments. North American Journal of Fisheries Management 10(3):344–351.</w:t>
      </w:r>
    </w:p>
    <w:p w14:paraId="6A30771A" w14:textId="77777777" w:rsidR="003A17E2" w:rsidRPr="003A17E2" w:rsidRDefault="003A17E2" w:rsidP="003A17E2">
      <w:pPr>
        <w:pStyle w:val="Bibliography"/>
      </w:pPr>
      <w:r w:rsidRPr="003A17E2">
        <w:t>Miranda, L. E., and W. D. Hubbard. 1994a. Length-dependent winter survival and lipid composition of age-0 Largemouth Bass in Bay Springs Reservoir, Mississippi. Transactions of the American Fisheries Society 123(1):80–87.</w:t>
      </w:r>
    </w:p>
    <w:p w14:paraId="60561DA6" w14:textId="77777777" w:rsidR="003A17E2" w:rsidRPr="003A17E2" w:rsidRDefault="003A17E2" w:rsidP="003A17E2">
      <w:pPr>
        <w:pStyle w:val="Bibliography"/>
      </w:pPr>
      <w:r w:rsidRPr="003A17E2">
        <w:t>Miranda, L. E., and W. D. Hubbard. 1994b. Winter survival of age-0 Largemouth Bass relative to size, predators, and shelter. North American Journal of Fisheries Management 14(4):790–796.</w:t>
      </w:r>
    </w:p>
    <w:p w14:paraId="62BC5726" w14:textId="77777777" w:rsidR="003A17E2" w:rsidRPr="003A17E2" w:rsidRDefault="003A17E2" w:rsidP="003A17E2">
      <w:pPr>
        <w:pStyle w:val="Bibliography"/>
      </w:pPr>
      <w:r w:rsidRPr="003A17E2">
        <w:t>Moyle, P. B. 1976. Inland fishes of California. University of California Press, Berkeley, California.</w:t>
      </w:r>
    </w:p>
    <w:p w14:paraId="6E683195" w14:textId="77777777" w:rsidR="003A17E2" w:rsidRPr="003A17E2" w:rsidRDefault="003A17E2" w:rsidP="003A17E2">
      <w:pPr>
        <w:pStyle w:val="Bibliography"/>
      </w:pPr>
      <w:r w:rsidRPr="003A17E2">
        <w:t xml:space="preserve">Novinger, G. D., and R. E. Legler. 1978. Bluegill population structure and dynamics. Pages 37–49 </w:t>
      </w:r>
      <w:r w:rsidRPr="003A17E2">
        <w:rPr>
          <w:i/>
          <w:iCs/>
        </w:rPr>
        <w:t>in</w:t>
      </w:r>
      <w:r w:rsidRPr="003A17E2">
        <w:t xml:space="preserve"> G. Novinger and J. G. Dillard, editors. New approaches to the management of small impoundments. American Fisheries Society, North Central Division, Special Publication 5, Bethesda, Maryland.</w:t>
      </w:r>
    </w:p>
    <w:p w14:paraId="2E4306BC" w14:textId="77777777" w:rsidR="003A17E2" w:rsidRPr="003A17E2" w:rsidRDefault="003A17E2" w:rsidP="003A17E2">
      <w:pPr>
        <w:pStyle w:val="Bibliography"/>
      </w:pPr>
      <w:r w:rsidRPr="003A17E2">
        <w:t xml:space="preserve">Quinn, S. 1996. Trends in regulatory and voluntary catch-and-release fishing. Pages 152–162 </w:t>
      </w:r>
      <w:r w:rsidRPr="003A17E2">
        <w:rPr>
          <w:i/>
          <w:iCs/>
        </w:rPr>
        <w:t>in</w:t>
      </w:r>
      <w:r w:rsidRPr="003A17E2">
        <w:t xml:space="preserve"> L. E. Miranda and D. R. DeVries, editors. Multidimensional approaches to reservoir fisheries management. American Fisheries Society, Symposium 16, Bethesda, Maryland.</w:t>
      </w:r>
    </w:p>
    <w:p w14:paraId="5C661976" w14:textId="77777777" w:rsidR="003A17E2" w:rsidRPr="003A17E2" w:rsidRDefault="003A17E2" w:rsidP="003A17E2">
      <w:pPr>
        <w:pStyle w:val="Bibliography"/>
      </w:pPr>
      <w:r w:rsidRPr="003A17E2">
        <w:lastRenderedPageBreak/>
        <w:t>R Core Team. 2022. R: a language and environment for statistical computing. R Foundation for Statistical Computing, Vienna, Austria.</w:t>
      </w:r>
    </w:p>
    <w:p w14:paraId="53EBA26D" w14:textId="77777777" w:rsidR="003A17E2" w:rsidRPr="003A17E2" w:rsidRDefault="003A17E2" w:rsidP="003A17E2">
      <w:pPr>
        <w:pStyle w:val="Bibliography"/>
      </w:pPr>
      <w:r w:rsidRPr="003A17E2">
        <w:t xml:space="preserve">Renwick, W. H., S. V. Smith, J. D. Bartley, and R. W. </w:t>
      </w:r>
      <w:proofErr w:type="spellStart"/>
      <w:r w:rsidRPr="003A17E2">
        <w:t>Buddemeier</w:t>
      </w:r>
      <w:proofErr w:type="spellEnd"/>
      <w:r w:rsidRPr="003A17E2">
        <w:t>. 2005. The role of impoundments in the sediment budget of the conterminous United States. Geomorphology 71(1–2):99–111.</w:t>
      </w:r>
    </w:p>
    <w:p w14:paraId="11C31248" w14:textId="77777777" w:rsidR="003A17E2" w:rsidRPr="003A17E2" w:rsidRDefault="003A17E2" w:rsidP="003A17E2">
      <w:pPr>
        <w:pStyle w:val="Bibliography"/>
      </w:pPr>
      <w:r w:rsidRPr="003A17E2">
        <w:t xml:space="preserve">Reynolds, J. B., and A. L. Kolz. 2012. Electrofishing. Pages 305–361 </w:t>
      </w:r>
      <w:r w:rsidRPr="003A17E2">
        <w:rPr>
          <w:i/>
          <w:iCs/>
        </w:rPr>
        <w:t>in</w:t>
      </w:r>
      <w:r w:rsidRPr="003A17E2">
        <w:t xml:space="preserve"> A. V. Zale, D. L. Parrish, and T. M. Sutton, editors. Fisheries techniques, 3rd edition. American Fisheries Society, Bethesda, Maryland.</w:t>
      </w:r>
    </w:p>
    <w:p w14:paraId="03A1101A" w14:textId="77777777" w:rsidR="003A17E2" w:rsidRPr="003A17E2" w:rsidRDefault="003A17E2" w:rsidP="003A17E2">
      <w:pPr>
        <w:pStyle w:val="Bibliography"/>
      </w:pPr>
      <w:r w:rsidRPr="003A17E2">
        <w:t>Rogers, M. W., and M. S. Allen. 2009. Exploring the generality of recruitment hypotheses for Largemouth Bass along a latitudinal gradient of Florida lakes. Transactions of the American Fisheries Society 138(1):23–37.</w:t>
      </w:r>
    </w:p>
    <w:p w14:paraId="54F374E9" w14:textId="77777777" w:rsidR="003A17E2" w:rsidRPr="003A17E2" w:rsidRDefault="003A17E2" w:rsidP="003A17E2">
      <w:pPr>
        <w:pStyle w:val="Bibliography"/>
      </w:pPr>
      <w:r w:rsidRPr="003A17E2">
        <w:t xml:space="preserve">Rose, K. A., J. H. Cowan, K. O. </w:t>
      </w:r>
      <w:proofErr w:type="spellStart"/>
      <w:r w:rsidRPr="003A17E2">
        <w:t>Winemiller</w:t>
      </w:r>
      <w:proofErr w:type="spellEnd"/>
      <w:r w:rsidRPr="003A17E2">
        <w:t xml:space="preserve">, R. A. Myers, and R. </w:t>
      </w:r>
      <w:proofErr w:type="spellStart"/>
      <w:r w:rsidRPr="003A17E2">
        <w:t>Hilborn</w:t>
      </w:r>
      <w:proofErr w:type="spellEnd"/>
      <w:r w:rsidRPr="003A17E2">
        <w:t>. 2001. Compensatory density dependence in fish populations: importance, controversy, understanding and prognosis. Fish and Fisheries 2(4):293–327.</w:t>
      </w:r>
    </w:p>
    <w:p w14:paraId="1AD8E2B7" w14:textId="77777777" w:rsidR="003A17E2" w:rsidRPr="003A17E2" w:rsidRDefault="003A17E2" w:rsidP="003A17E2">
      <w:pPr>
        <w:pStyle w:val="Bibliography"/>
      </w:pPr>
      <w:r w:rsidRPr="003A17E2">
        <w:t xml:space="preserve">Sammons, S. M., and M. J. </w:t>
      </w:r>
      <w:proofErr w:type="spellStart"/>
      <w:r w:rsidRPr="003A17E2">
        <w:t>Maceina</w:t>
      </w:r>
      <w:proofErr w:type="spellEnd"/>
      <w:r w:rsidRPr="003A17E2">
        <w:t xml:space="preserve">. 2005. Population size, survival, and growth of Largemouth Bass one year after stocking in four ponds. Pages 241–250 </w:t>
      </w:r>
      <w:r w:rsidRPr="003A17E2">
        <w:rPr>
          <w:i/>
          <w:iCs/>
        </w:rPr>
        <w:t>in</w:t>
      </w:r>
      <w:r w:rsidRPr="003A17E2">
        <w:t xml:space="preserve"> Proceedings of the Annual Conference of the Southeastern Association of Fish and Wildlife Agencies.</w:t>
      </w:r>
    </w:p>
    <w:p w14:paraId="0D7E58AE" w14:textId="77777777" w:rsidR="003A17E2" w:rsidRPr="003A17E2" w:rsidRDefault="003A17E2" w:rsidP="003A17E2">
      <w:pPr>
        <w:pStyle w:val="Bibliography"/>
      </w:pPr>
      <w:r w:rsidRPr="003A17E2">
        <w:t xml:space="preserve">Shelton, W. L., W. D. Davies, T. A. King, and T. J. Timmons. 1979. Variation in the growth of the initial year class of Largemouth Bass in West Point Reservoir, </w:t>
      </w:r>
      <w:proofErr w:type="gramStart"/>
      <w:r w:rsidRPr="003A17E2">
        <w:t>Alabama</w:t>
      </w:r>
      <w:proofErr w:type="gramEnd"/>
      <w:r w:rsidRPr="003A17E2">
        <w:t xml:space="preserve"> and Georgia. Transactions of the American Fisheries Society 108(2):142–149.</w:t>
      </w:r>
    </w:p>
    <w:p w14:paraId="431CC8A7" w14:textId="77777777" w:rsidR="003A17E2" w:rsidRPr="003A17E2" w:rsidRDefault="003A17E2" w:rsidP="003A17E2">
      <w:pPr>
        <w:pStyle w:val="Bibliography"/>
      </w:pPr>
      <w:proofErr w:type="spellStart"/>
      <w:r w:rsidRPr="003A17E2">
        <w:t>Shoup</w:t>
      </w:r>
      <w:proofErr w:type="spellEnd"/>
      <w:r w:rsidRPr="003A17E2">
        <w:t xml:space="preserve">, D. E., and C. R. </w:t>
      </w:r>
      <w:proofErr w:type="spellStart"/>
      <w:r w:rsidRPr="003A17E2">
        <w:t>Broderius</w:t>
      </w:r>
      <w:proofErr w:type="spellEnd"/>
      <w:r w:rsidRPr="003A17E2">
        <w:t>. 2018. Effects of vegetation density on the ontogeny to piscivory of juvenile Largemouth Bass. North American Journal of Fisheries Management 38(3):630–638.</w:t>
      </w:r>
    </w:p>
    <w:p w14:paraId="424A8669" w14:textId="77777777" w:rsidR="003A17E2" w:rsidRPr="003A17E2" w:rsidRDefault="003A17E2" w:rsidP="003A17E2">
      <w:pPr>
        <w:pStyle w:val="Bibliography"/>
      </w:pPr>
      <w:r w:rsidRPr="003A17E2">
        <w:t>Smith, S. L. 1976. Behavioral suppression of spawning in Largemouth Bass by interspecific competition for space within spawning areas. Transactions of the American Fisheries Society 105(6):682–685.</w:t>
      </w:r>
    </w:p>
    <w:p w14:paraId="40133885" w14:textId="77777777" w:rsidR="003A17E2" w:rsidRPr="003A17E2" w:rsidRDefault="003A17E2" w:rsidP="003A17E2">
      <w:pPr>
        <w:pStyle w:val="Bibliography"/>
      </w:pPr>
      <w:r w:rsidRPr="003A17E2">
        <w:t xml:space="preserve">Smitherman, R. O. 1975. Experimental species associations of basses in Alabama ponds. Pages 76–84 </w:t>
      </w:r>
      <w:r w:rsidRPr="003A17E2">
        <w:rPr>
          <w:i/>
          <w:iCs/>
        </w:rPr>
        <w:t>in</w:t>
      </w:r>
      <w:r w:rsidRPr="003A17E2">
        <w:t xml:space="preserve"> R. H. Stroud and H. </w:t>
      </w:r>
      <w:proofErr w:type="spellStart"/>
      <w:r w:rsidRPr="003A17E2">
        <w:t>Clepper</w:t>
      </w:r>
      <w:proofErr w:type="spellEnd"/>
      <w:r w:rsidRPr="003A17E2">
        <w:t>, editors. Black bass biology and management. Sport Fishing Institute, Washington, D.C., USA.</w:t>
      </w:r>
    </w:p>
    <w:p w14:paraId="3C6C2002" w14:textId="77777777" w:rsidR="003A17E2" w:rsidRPr="003A17E2" w:rsidRDefault="003A17E2" w:rsidP="003A17E2">
      <w:pPr>
        <w:pStyle w:val="Bibliography"/>
      </w:pPr>
      <w:r w:rsidRPr="003A17E2">
        <w:t>Stewart-Oaten, A., W. W. Murdoch, and K. R. Parker. 1986. Environmental impact assessment: “pseudoreplication” in time? Ecology 67(4):929–940.</w:t>
      </w:r>
    </w:p>
    <w:p w14:paraId="1B14B077" w14:textId="77777777" w:rsidR="003A17E2" w:rsidRPr="003A17E2" w:rsidRDefault="003A17E2" w:rsidP="003A17E2">
      <w:pPr>
        <w:pStyle w:val="Bibliography"/>
      </w:pPr>
      <w:r w:rsidRPr="003A17E2">
        <w:t>Swingle, H. S. 1950. Relationships and dynamics of balanced and unbalanced fish populations. Alabama Agricultural Experiment Station Bulletin, Alabama Polytechnical Institute, Auburn.</w:t>
      </w:r>
    </w:p>
    <w:p w14:paraId="03C28081" w14:textId="77777777" w:rsidR="003A17E2" w:rsidRPr="003A17E2" w:rsidRDefault="003A17E2" w:rsidP="003A17E2">
      <w:pPr>
        <w:pStyle w:val="Bibliography"/>
      </w:pPr>
      <w:r w:rsidRPr="003A17E2">
        <w:t xml:space="preserve">Swingle, H. S. 1970. History of warmwater pond culture in the United States. Pages 95–105 </w:t>
      </w:r>
      <w:r w:rsidRPr="003A17E2">
        <w:rPr>
          <w:i/>
          <w:iCs/>
        </w:rPr>
        <w:t>in</w:t>
      </w:r>
      <w:r w:rsidRPr="003A17E2">
        <w:t xml:space="preserve"> N. G. Benson, editor. A century of fisheries in North America. American Fisheries Society, Special Publication 7, Bethesda, Maryland.</w:t>
      </w:r>
    </w:p>
    <w:p w14:paraId="57C87BFA" w14:textId="77777777" w:rsidR="003A17E2" w:rsidRPr="003A17E2" w:rsidRDefault="003A17E2" w:rsidP="003A17E2">
      <w:pPr>
        <w:pStyle w:val="Bibliography"/>
      </w:pPr>
      <w:r w:rsidRPr="003A17E2">
        <w:t>Swingle, H. S., and E. V. Smith. 1942. The management of ponds with stunted fish populations. Transactions of the American Fisheries Society 71(1):102–105.</w:t>
      </w:r>
    </w:p>
    <w:p w14:paraId="4148F89E" w14:textId="77777777" w:rsidR="003A17E2" w:rsidRPr="003A17E2" w:rsidRDefault="003A17E2" w:rsidP="003A17E2">
      <w:pPr>
        <w:pStyle w:val="Bibliography"/>
      </w:pPr>
      <w:r w:rsidRPr="003A17E2">
        <w:t>U.S. Department of the Interior, U.S. Fish and Wildlife Service and U.S. Department of Commerce, U.S. Census Bureau. 2018. National survey of fishing, hunting, and wildlife-associated recreation. U.S. Fish and Wildlife Service, Washington, D.C.</w:t>
      </w:r>
    </w:p>
    <w:p w14:paraId="2776943A" w14:textId="77777777" w:rsidR="003A17E2" w:rsidRPr="003A17E2" w:rsidRDefault="003A17E2" w:rsidP="003A17E2">
      <w:pPr>
        <w:pStyle w:val="Bibliography"/>
      </w:pPr>
      <w:r w:rsidRPr="003A17E2">
        <w:t>Werner, E. E. 1977. Species packing and niche complementarity in three sunfishes. The American Naturalist 111(979):553–578.</w:t>
      </w:r>
    </w:p>
    <w:p w14:paraId="0B212BD9" w14:textId="77777777" w:rsidR="003A17E2" w:rsidRPr="003A17E2" w:rsidRDefault="003A17E2" w:rsidP="003A17E2">
      <w:pPr>
        <w:pStyle w:val="Bibliography"/>
      </w:pPr>
      <w:r w:rsidRPr="003A17E2">
        <w:t>Werner, E. E., and D. J. Hall. 1988. Ontogenetic habitat shifts in Bluegill: the foraging rate-predation risk trade-off. Ecology 69(5):1352–1366.</w:t>
      </w:r>
    </w:p>
    <w:p w14:paraId="129BCED8" w14:textId="77777777" w:rsidR="003A17E2" w:rsidRPr="003A17E2" w:rsidRDefault="003A17E2" w:rsidP="003A17E2">
      <w:pPr>
        <w:pStyle w:val="Bibliography"/>
      </w:pPr>
      <w:r w:rsidRPr="003A17E2">
        <w:lastRenderedPageBreak/>
        <w:t xml:space="preserve">Willis, D. W., R. D. Lusk, and J. W. </w:t>
      </w:r>
      <w:proofErr w:type="spellStart"/>
      <w:r w:rsidRPr="003A17E2">
        <w:t>Slipke</w:t>
      </w:r>
      <w:proofErr w:type="spellEnd"/>
      <w:r w:rsidRPr="003A17E2">
        <w:t xml:space="preserve">. 2010. Farm ponds and small impoundments. Pages 501–543 </w:t>
      </w:r>
      <w:r w:rsidRPr="003A17E2">
        <w:rPr>
          <w:i/>
          <w:iCs/>
        </w:rPr>
        <w:t>in</w:t>
      </w:r>
      <w:r w:rsidRPr="003A17E2">
        <w:t xml:space="preserve"> W. A. Hubert and M. C. Quist, editors. Inland fisheries management in North America, 3rd edition. American Fisheries Society, Bethesda, Maryland.</w:t>
      </w:r>
    </w:p>
    <w:p w14:paraId="7E5AF1FB" w14:textId="77777777" w:rsidR="003A17E2" w:rsidRPr="003A17E2" w:rsidRDefault="003A17E2" w:rsidP="003A17E2">
      <w:pPr>
        <w:pStyle w:val="Bibliography"/>
      </w:pPr>
      <w:r w:rsidRPr="003A17E2">
        <w:t xml:space="preserve">Willis, D. W., and B. R. Murphy. 1996. Planning for sampling. Pages 1–15 </w:t>
      </w:r>
      <w:r w:rsidRPr="003A17E2">
        <w:rPr>
          <w:i/>
          <w:iCs/>
        </w:rPr>
        <w:t>in</w:t>
      </w:r>
      <w:r w:rsidRPr="003A17E2">
        <w:t xml:space="preserve"> B. R. Murphy and D. W. Willis, editors. Fisheries techniques, 2nd edition. American Fisheries Society, Bethesda, Maryland.</w:t>
      </w:r>
    </w:p>
    <w:p w14:paraId="02022F43" w14:textId="77777777" w:rsidR="003A17E2" w:rsidRPr="003A17E2" w:rsidRDefault="003A17E2" w:rsidP="003A17E2">
      <w:pPr>
        <w:pStyle w:val="Bibliography"/>
      </w:pPr>
      <w:r w:rsidRPr="003A17E2">
        <w:t xml:space="preserve">Willis, D. W., and J. W. Neal. 2012. Small impoundments and the history of their management. Pages 3–20 </w:t>
      </w:r>
      <w:r w:rsidRPr="003A17E2">
        <w:rPr>
          <w:i/>
          <w:iCs/>
        </w:rPr>
        <w:t>in</w:t>
      </w:r>
      <w:r w:rsidRPr="003A17E2">
        <w:t xml:space="preserve"> J. W. Neal and D. W. Willis, editors. Small impoundment management in North America. American Fisheries Society, Bethesda, Maryland.</w:t>
      </w:r>
    </w:p>
    <w:p w14:paraId="28DBC13B" w14:textId="77777777" w:rsidR="003A17E2" w:rsidRPr="003A17E2" w:rsidRDefault="003A17E2" w:rsidP="003A17E2">
      <w:pPr>
        <w:pStyle w:val="Bibliography"/>
      </w:pPr>
      <w:r w:rsidRPr="003A17E2">
        <w:t xml:space="preserve">Wright, R. A., and C. E. Kraft. 2012. Stocking strategies for recreational small impoundments. Page </w:t>
      </w:r>
      <w:r w:rsidRPr="003A17E2">
        <w:rPr>
          <w:i/>
          <w:iCs/>
        </w:rPr>
        <w:t>in</w:t>
      </w:r>
      <w:r w:rsidRPr="003A17E2">
        <w:t xml:space="preserve"> J. W. Neal and D. W. Willis, editors. Small impoundment management in North America. American Fisheries Society, Bethesda, Maryland.</w:t>
      </w:r>
    </w:p>
    <w:p w14:paraId="1190CE81" w14:textId="77777777" w:rsidR="003A17E2" w:rsidRPr="003A17E2" w:rsidRDefault="003A17E2" w:rsidP="003A17E2">
      <w:pPr>
        <w:pStyle w:val="Bibliography"/>
      </w:pPr>
      <w:proofErr w:type="spellStart"/>
      <w:r w:rsidRPr="003A17E2">
        <w:t>Zweiacker</w:t>
      </w:r>
      <w:proofErr w:type="spellEnd"/>
      <w:r w:rsidRPr="003A17E2">
        <w:t xml:space="preserve">, P. L., and R. C. </w:t>
      </w:r>
      <w:proofErr w:type="spellStart"/>
      <w:r w:rsidRPr="003A17E2">
        <w:t>Summerfelt</w:t>
      </w:r>
      <w:proofErr w:type="spellEnd"/>
      <w:r w:rsidRPr="003A17E2">
        <w:t xml:space="preserve">. 1974. Seasonal variation in food and diet periodicity in feeding of northern Largemouth Bass, </w:t>
      </w:r>
      <w:r w:rsidRPr="003A17E2">
        <w:rPr>
          <w:i/>
          <w:iCs/>
        </w:rPr>
        <w:t>Micropterus salmoides</w:t>
      </w:r>
      <w:r w:rsidRPr="003A17E2">
        <w:t xml:space="preserve"> (</w:t>
      </w:r>
      <w:proofErr w:type="spellStart"/>
      <w:r w:rsidRPr="003A17E2">
        <w:t>Lacepede</w:t>
      </w:r>
      <w:proofErr w:type="spellEnd"/>
      <w:r w:rsidRPr="003A17E2">
        <w:t>) in an Oklahoma reservoir. Proceedings of the Annual Conference of the Southeastern Association of Game and Fish Commissioners 27:579–591.</w:t>
      </w:r>
    </w:p>
    <w:p w14:paraId="6AF50E74" w14:textId="1B4FE5CE" w:rsidR="00C864A4" w:rsidRDefault="00C864A4" w:rsidP="00C864A4">
      <w:pPr>
        <w:spacing w:line="480" w:lineRule="auto"/>
      </w:pPr>
      <w:r>
        <w:fldChar w:fldCharType="end"/>
      </w:r>
    </w:p>
    <w:p w14:paraId="3664735F" w14:textId="46AACF7D" w:rsidR="003A17E2" w:rsidRDefault="003A17E2">
      <w:r>
        <w:br w:type="page"/>
      </w:r>
    </w:p>
    <w:p w14:paraId="5E3C0E77" w14:textId="6274D035" w:rsidR="003A17E2" w:rsidRDefault="003A17E2" w:rsidP="00C864A4">
      <w:pPr>
        <w:spacing w:line="480" w:lineRule="auto"/>
      </w:pPr>
      <w:r>
        <w:lastRenderedPageBreak/>
        <w:t>[A]Tables</w:t>
      </w:r>
    </w:p>
    <w:p w14:paraId="577C3B24" w14:textId="77777777" w:rsidR="003A17E2" w:rsidRPr="001E50BC" w:rsidRDefault="003A17E2" w:rsidP="003A17E2">
      <w:pPr>
        <w:tabs>
          <w:tab w:val="left" w:pos="920"/>
        </w:tabs>
        <w:spacing w:line="480" w:lineRule="auto"/>
      </w:pPr>
      <w:r w:rsidRPr="001E50BC">
        <w:t>Table 1.</w:t>
      </w:r>
    </w:p>
    <w:p w14:paraId="53F5AB12" w14:textId="77777777" w:rsidR="003A17E2" w:rsidRPr="001E50BC" w:rsidRDefault="003A17E2" w:rsidP="003A17E2">
      <w:pPr>
        <w:tabs>
          <w:tab w:val="left" w:pos="920"/>
        </w:tabs>
        <w:spacing w:line="480" w:lineRule="auto"/>
      </w:pPr>
      <w:r w:rsidRPr="001E50BC">
        <w:t>Impoundments sampled, surface area (ha), years of spring electrofishing, and year(s) of shoreline rotenone application, if any (</w:t>
      </w:r>
      <w:r>
        <w:t>c.f.</w:t>
      </w:r>
      <w:r w:rsidRPr="001E50BC">
        <w:t>, “</w:t>
      </w:r>
      <w:r>
        <w:t>control</w:t>
      </w:r>
      <w:r w:rsidRPr="001E50BC">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620" w:firstRow="1" w:lastRow="0" w:firstColumn="0" w:lastColumn="0" w:noHBand="1" w:noVBand="1"/>
      </w:tblPr>
      <w:tblGrid>
        <w:gridCol w:w="2965"/>
        <w:gridCol w:w="1260"/>
        <w:gridCol w:w="2250"/>
        <w:gridCol w:w="1980"/>
      </w:tblGrid>
      <w:tr w:rsidR="003A17E2" w:rsidRPr="001E50BC" w14:paraId="25129D1F" w14:textId="77777777" w:rsidTr="0008282E">
        <w:trPr>
          <w:trHeight w:val="314"/>
        </w:trPr>
        <w:tc>
          <w:tcPr>
            <w:tcW w:w="2965" w:type="dxa"/>
            <w:tcBorders>
              <w:top w:val="single" w:sz="4" w:space="0" w:color="auto"/>
              <w:bottom w:val="single" w:sz="4" w:space="0" w:color="auto"/>
            </w:tcBorders>
          </w:tcPr>
          <w:p w14:paraId="12B0A6F6" w14:textId="77777777" w:rsidR="003A17E2" w:rsidRPr="001E50BC" w:rsidRDefault="003A17E2" w:rsidP="0008282E">
            <w:pPr>
              <w:spacing w:line="480" w:lineRule="auto"/>
              <w:jc w:val="center"/>
              <w:rPr>
                <w:sz w:val="22"/>
                <w:szCs w:val="22"/>
              </w:rPr>
            </w:pPr>
            <w:r w:rsidRPr="001E50BC">
              <w:rPr>
                <w:sz w:val="22"/>
                <w:szCs w:val="22"/>
              </w:rPr>
              <w:t>Impoundment</w:t>
            </w:r>
          </w:p>
        </w:tc>
        <w:tc>
          <w:tcPr>
            <w:tcW w:w="1260" w:type="dxa"/>
            <w:tcBorders>
              <w:top w:val="single" w:sz="4" w:space="0" w:color="auto"/>
              <w:bottom w:val="single" w:sz="4" w:space="0" w:color="auto"/>
            </w:tcBorders>
          </w:tcPr>
          <w:p w14:paraId="1E01E18B" w14:textId="77777777" w:rsidR="003A17E2" w:rsidRPr="001E50BC" w:rsidRDefault="003A17E2" w:rsidP="0008282E">
            <w:pPr>
              <w:spacing w:line="480" w:lineRule="auto"/>
              <w:jc w:val="center"/>
              <w:rPr>
                <w:sz w:val="22"/>
                <w:szCs w:val="22"/>
              </w:rPr>
            </w:pPr>
            <w:r w:rsidRPr="001E50BC">
              <w:rPr>
                <w:sz w:val="22"/>
                <w:szCs w:val="22"/>
              </w:rPr>
              <w:t>Size (ha)</w:t>
            </w:r>
          </w:p>
        </w:tc>
        <w:tc>
          <w:tcPr>
            <w:tcW w:w="2250" w:type="dxa"/>
            <w:tcBorders>
              <w:top w:val="single" w:sz="4" w:space="0" w:color="auto"/>
              <w:bottom w:val="single" w:sz="4" w:space="0" w:color="auto"/>
            </w:tcBorders>
          </w:tcPr>
          <w:p w14:paraId="4936517C" w14:textId="77777777" w:rsidR="003A17E2" w:rsidRPr="001E50BC" w:rsidRDefault="003A17E2" w:rsidP="0008282E">
            <w:pPr>
              <w:spacing w:line="480" w:lineRule="auto"/>
              <w:jc w:val="center"/>
              <w:rPr>
                <w:sz w:val="22"/>
                <w:szCs w:val="22"/>
              </w:rPr>
            </w:pPr>
            <w:r w:rsidRPr="001E50BC">
              <w:rPr>
                <w:sz w:val="22"/>
                <w:szCs w:val="22"/>
              </w:rPr>
              <w:t>Years Electrofished</w:t>
            </w:r>
          </w:p>
        </w:tc>
        <w:tc>
          <w:tcPr>
            <w:tcW w:w="1980" w:type="dxa"/>
            <w:tcBorders>
              <w:top w:val="single" w:sz="4" w:space="0" w:color="auto"/>
              <w:bottom w:val="single" w:sz="4" w:space="0" w:color="auto"/>
            </w:tcBorders>
          </w:tcPr>
          <w:p w14:paraId="43E0E088" w14:textId="77777777" w:rsidR="003A17E2" w:rsidRPr="001E50BC" w:rsidRDefault="003A17E2" w:rsidP="0008282E">
            <w:pPr>
              <w:spacing w:line="480" w:lineRule="auto"/>
              <w:jc w:val="center"/>
              <w:rPr>
                <w:sz w:val="22"/>
                <w:szCs w:val="22"/>
              </w:rPr>
            </w:pPr>
            <w:r w:rsidRPr="001E50BC">
              <w:rPr>
                <w:sz w:val="22"/>
                <w:szCs w:val="22"/>
              </w:rPr>
              <w:t>Year(s) Treated</w:t>
            </w:r>
          </w:p>
        </w:tc>
      </w:tr>
      <w:tr w:rsidR="003A17E2" w:rsidRPr="001E50BC" w14:paraId="6F6691FE" w14:textId="77777777" w:rsidTr="0008282E">
        <w:tc>
          <w:tcPr>
            <w:tcW w:w="2965" w:type="dxa"/>
            <w:tcBorders>
              <w:top w:val="single" w:sz="4" w:space="0" w:color="auto"/>
            </w:tcBorders>
          </w:tcPr>
          <w:p w14:paraId="56226E53" w14:textId="77777777" w:rsidR="003A17E2" w:rsidRPr="001E50BC" w:rsidRDefault="003A17E2" w:rsidP="0008282E">
            <w:pPr>
              <w:spacing w:line="480" w:lineRule="auto"/>
              <w:rPr>
                <w:sz w:val="22"/>
                <w:szCs w:val="22"/>
              </w:rPr>
            </w:pPr>
            <w:r w:rsidRPr="001E50BC">
              <w:rPr>
                <w:sz w:val="22"/>
                <w:szCs w:val="22"/>
              </w:rPr>
              <w:t>Lee County Lake</w:t>
            </w:r>
          </w:p>
        </w:tc>
        <w:tc>
          <w:tcPr>
            <w:tcW w:w="1260" w:type="dxa"/>
            <w:tcBorders>
              <w:top w:val="single" w:sz="4" w:space="0" w:color="auto"/>
            </w:tcBorders>
          </w:tcPr>
          <w:p w14:paraId="01EF4B9C" w14:textId="77777777" w:rsidR="003A17E2" w:rsidRPr="001E50BC" w:rsidRDefault="003A17E2" w:rsidP="0008282E">
            <w:pPr>
              <w:spacing w:line="480" w:lineRule="auto"/>
              <w:jc w:val="center"/>
              <w:rPr>
                <w:sz w:val="22"/>
                <w:szCs w:val="22"/>
              </w:rPr>
            </w:pPr>
            <w:r w:rsidRPr="001E50BC">
              <w:rPr>
                <w:sz w:val="22"/>
                <w:szCs w:val="22"/>
              </w:rPr>
              <w:t>48</w:t>
            </w:r>
          </w:p>
        </w:tc>
        <w:tc>
          <w:tcPr>
            <w:tcW w:w="2250" w:type="dxa"/>
            <w:tcBorders>
              <w:top w:val="single" w:sz="4" w:space="0" w:color="auto"/>
            </w:tcBorders>
          </w:tcPr>
          <w:p w14:paraId="543450E6"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Borders>
              <w:top w:val="single" w:sz="4" w:space="0" w:color="auto"/>
            </w:tcBorders>
          </w:tcPr>
          <w:p w14:paraId="76106E5B"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284370CB" w14:textId="77777777" w:rsidTr="0008282E">
        <w:tc>
          <w:tcPr>
            <w:tcW w:w="2965" w:type="dxa"/>
          </w:tcPr>
          <w:p w14:paraId="4CFB9DB5" w14:textId="77777777" w:rsidR="003A17E2" w:rsidRPr="001E50BC" w:rsidRDefault="003A17E2" w:rsidP="0008282E">
            <w:pPr>
              <w:spacing w:line="480" w:lineRule="auto"/>
              <w:rPr>
                <w:sz w:val="22"/>
                <w:szCs w:val="22"/>
              </w:rPr>
            </w:pPr>
            <w:r w:rsidRPr="001E50BC">
              <w:rPr>
                <w:sz w:val="22"/>
                <w:szCs w:val="22"/>
              </w:rPr>
              <w:t>Anderson</w:t>
            </w:r>
          </w:p>
        </w:tc>
        <w:tc>
          <w:tcPr>
            <w:tcW w:w="1260" w:type="dxa"/>
          </w:tcPr>
          <w:p w14:paraId="6BDDF9E6" w14:textId="77777777" w:rsidR="003A17E2" w:rsidRPr="001E50BC" w:rsidRDefault="003A17E2" w:rsidP="0008282E">
            <w:pPr>
              <w:spacing w:line="480" w:lineRule="auto"/>
              <w:jc w:val="center"/>
              <w:rPr>
                <w:sz w:val="22"/>
                <w:szCs w:val="22"/>
              </w:rPr>
            </w:pPr>
            <w:r w:rsidRPr="001E50BC">
              <w:rPr>
                <w:sz w:val="22"/>
                <w:szCs w:val="22"/>
              </w:rPr>
              <w:t>2.8</w:t>
            </w:r>
          </w:p>
        </w:tc>
        <w:tc>
          <w:tcPr>
            <w:tcW w:w="2250" w:type="dxa"/>
          </w:tcPr>
          <w:p w14:paraId="3DC8E1E5"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5E8ED30D"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1C405C7" w14:textId="77777777" w:rsidTr="0008282E">
        <w:tc>
          <w:tcPr>
            <w:tcW w:w="2965" w:type="dxa"/>
          </w:tcPr>
          <w:p w14:paraId="3E4AD1C5" w14:textId="77777777" w:rsidR="003A17E2" w:rsidRPr="001E50BC" w:rsidRDefault="003A17E2" w:rsidP="0008282E">
            <w:pPr>
              <w:spacing w:line="480" w:lineRule="auto"/>
              <w:rPr>
                <w:sz w:val="22"/>
                <w:szCs w:val="22"/>
              </w:rPr>
            </w:pPr>
            <w:r w:rsidRPr="001E50BC">
              <w:rPr>
                <w:sz w:val="22"/>
                <w:szCs w:val="22"/>
              </w:rPr>
              <w:t>Barbour County Lake</w:t>
            </w:r>
          </w:p>
        </w:tc>
        <w:tc>
          <w:tcPr>
            <w:tcW w:w="1260" w:type="dxa"/>
          </w:tcPr>
          <w:p w14:paraId="575E4AFB"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576F65E9"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67A5769B" w14:textId="77777777" w:rsidR="003A17E2" w:rsidRPr="001E50BC" w:rsidRDefault="003A17E2" w:rsidP="0008282E">
            <w:pPr>
              <w:spacing w:line="480" w:lineRule="auto"/>
              <w:jc w:val="center"/>
              <w:rPr>
                <w:sz w:val="22"/>
                <w:szCs w:val="22"/>
              </w:rPr>
            </w:pPr>
            <w:r w:rsidRPr="001E50BC">
              <w:rPr>
                <w:sz w:val="22"/>
                <w:szCs w:val="22"/>
              </w:rPr>
              <w:t>2017</w:t>
            </w:r>
          </w:p>
        </w:tc>
      </w:tr>
      <w:tr w:rsidR="003A17E2" w:rsidRPr="001E50BC" w14:paraId="4A19436A" w14:textId="77777777" w:rsidTr="0008282E">
        <w:tc>
          <w:tcPr>
            <w:tcW w:w="2965" w:type="dxa"/>
          </w:tcPr>
          <w:p w14:paraId="681E8B97" w14:textId="77777777" w:rsidR="003A17E2" w:rsidRPr="001E50BC" w:rsidRDefault="003A17E2" w:rsidP="0008282E">
            <w:pPr>
              <w:spacing w:line="480" w:lineRule="auto"/>
              <w:rPr>
                <w:sz w:val="22"/>
                <w:szCs w:val="22"/>
              </w:rPr>
            </w:pPr>
            <w:r w:rsidRPr="001E50BC">
              <w:rPr>
                <w:sz w:val="22"/>
                <w:szCs w:val="22"/>
              </w:rPr>
              <w:t>Washington County Lake</w:t>
            </w:r>
          </w:p>
        </w:tc>
        <w:tc>
          <w:tcPr>
            <w:tcW w:w="1260" w:type="dxa"/>
          </w:tcPr>
          <w:p w14:paraId="76DE1A0F" w14:textId="77777777" w:rsidR="003A17E2" w:rsidRPr="001E50BC" w:rsidRDefault="003A17E2" w:rsidP="0008282E">
            <w:pPr>
              <w:spacing w:line="480" w:lineRule="auto"/>
              <w:jc w:val="center"/>
              <w:rPr>
                <w:sz w:val="22"/>
                <w:szCs w:val="22"/>
              </w:rPr>
            </w:pPr>
            <w:r w:rsidRPr="001E50BC">
              <w:rPr>
                <w:sz w:val="22"/>
                <w:szCs w:val="22"/>
              </w:rPr>
              <w:t>38</w:t>
            </w:r>
          </w:p>
        </w:tc>
        <w:tc>
          <w:tcPr>
            <w:tcW w:w="2250" w:type="dxa"/>
          </w:tcPr>
          <w:p w14:paraId="419ABB78" w14:textId="77777777" w:rsidR="003A17E2" w:rsidRPr="001E50BC" w:rsidRDefault="003A17E2" w:rsidP="0008282E">
            <w:pPr>
              <w:spacing w:line="480" w:lineRule="auto"/>
              <w:jc w:val="center"/>
              <w:rPr>
                <w:sz w:val="22"/>
                <w:szCs w:val="22"/>
              </w:rPr>
            </w:pPr>
            <w:r w:rsidRPr="001E50BC">
              <w:rPr>
                <w:sz w:val="22"/>
                <w:szCs w:val="22"/>
              </w:rPr>
              <w:t>2017, 2018</w:t>
            </w:r>
          </w:p>
        </w:tc>
        <w:tc>
          <w:tcPr>
            <w:tcW w:w="1980" w:type="dxa"/>
          </w:tcPr>
          <w:p w14:paraId="6816B48C" w14:textId="77777777" w:rsidR="003A17E2" w:rsidRPr="001E50BC" w:rsidRDefault="003A17E2" w:rsidP="0008282E">
            <w:pPr>
              <w:spacing w:line="480" w:lineRule="auto"/>
              <w:jc w:val="center"/>
              <w:rPr>
                <w:sz w:val="22"/>
                <w:szCs w:val="22"/>
              </w:rPr>
            </w:pPr>
            <w:r w:rsidRPr="001E50BC">
              <w:rPr>
                <w:sz w:val="22"/>
                <w:szCs w:val="22"/>
              </w:rPr>
              <w:t>2017</w:t>
            </w:r>
          </w:p>
        </w:tc>
      </w:tr>
      <w:tr w:rsidR="003A17E2" w:rsidRPr="001E50BC" w14:paraId="6A22467D" w14:textId="77777777" w:rsidTr="0008282E">
        <w:tc>
          <w:tcPr>
            <w:tcW w:w="2965" w:type="dxa"/>
          </w:tcPr>
          <w:p w14:paraId="463C0A35" w14:textId="77777777" w:rsidR="003A17E2" w:rsidRPr="001E50BC" w:rsidRDefault="003A17E2" w:rsidP="0008282E">
            <w:pPr>
              <w:spacing w:line="480" w:lineRule="auto"/>
              <w:rPr>
                <w:sz w:val="22"/>
                <w:szCs w:val="22"/>
              </w:rPr>
            </w:pPr>
            <w:r w:rsidRPr="001E50BC">
              <w:rPr>
                <w:sz w:val="22"/>
                <w:szCs w:val="22"/>
              </w:rPr>
              <w:t>Dale County Lake</w:t>
            </w:r>
          </w:p>
        </w:tc>
        <w:tc>
          <w:tcPr>
            <w:tcW w:w="1260" w:type="dxa"/>
          </w:tcPr>
          <w:p w14:paraId="08605EC9" w14:textId="77777777" w:rsidR="003A17E2" w:rsidRPr="001E50BC" w:rsidRDefault="003A17E2" w:rsidP="0008282E">
            <w:pPr>
              <w:spacing w:line="480" w:lineRule="auto"/>
              <w:jc w:val="center"/>
              <w:rPr>
                <w:sz w:val="22"/>
                <w:szCs w:val="22"/>
              </w:rPr>
            </w:pPr>
            <w:r w:rsidRPr="001E50BC">
              <w:rPr>
                <w:sz w:val="22"/>
                <w:szCs w:val="22"/>
              </w:rPr>
              <w:t>36</w:t>
            </w:r>
          </w:p>
        </w:tc>
        <w:tc>
          <w:tcPr>
            <w:tcW w:w="2250" w:type="dxa"/>
          </w:tcPr>
          <w:p w14:paraId="7420FC17"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073EB9A"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4790B2F2" w14:textId="77777777" w:rsidTr="0008282E">
        <w:trPr>
          <w:trHeight w:val="422"/>
        </w:trPr>
        <w:tc>
          <w:tcPr>
            <w:tcW w:w="2965" w:type="dxa"/>
          </w:tcPr>
          <w:p w14:paraId="3FF7178E" w14:textId="77777777" w:rsidR="003A17E2" w:rsidRPr="001E50BC" w:rsidRDefault="003A17E2" w:rsidP="0008282E">
            <w:pPr>
              <w:spacing w:line="480" w:lineRule="auto"/>
              <w:rPr>
                <w:sz w:val="22"/>
                <w:szCs w:val="22"/>
              </w:rPr>
            </w:pPr>
            <w:r w:rsidRPr="001E50BC">
              <w:rPr>
                <w:sz w:val="22"/>
                <w:szCs w:val="22"/>
              </w:rPr>
              <w:t>AE1</w:t>
            </w:r>
          </w:p>
        </w:tc>
        <w:tc>
          <w:tcPr>
            <w:tcW w:w="1260" w:type="dxa"/>
          </w:tcPr>
          <w:p w14:paraId="054F7CE1" w14:textId="77777777" w:rsidR="003A17E2" w:rsidRPr="001E50BC" w:rsidRDefault="003A17E2" w:rsidP="0008282E">
            <w:pPr>
              <w:spacing w:line="480" w:lineRule="auto"/>
              <w:jc w:val="center"/>
              <w:rPr>
                <w:sz w:val="22"/>
                <w:szCs w:val="22"/>
              </w:rPr>
            </w:pPr>
            <w:r w:rsidRPr="001E50BC">
              <w:rPr>
                <w:sz w:val="22"/>
                <w:szCs w:val="22"/>
              </w:rPr>
              <w:t>1.6</w:t>
            </w:r>
          </w:p>
        </w:tc>
        <w:tc>
          <w:tcPr>
            <w:tcW w:w="2250" w:type="dxa"/>
          </w:tcPr>
          <w:p w14:paraId="5576727E"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C1332CD"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D165FC3" w14:textId="77777777" w:rsidTr="0008282E">
        <w:tc>
          <w:tcPr>
            <w:tcW w:w="2965" w:type="dxa"/>
          </w:tcPr>
          <w:p w14:paraId="152DCAE7" w14:textId="77777777" w:rsidR="003A17E2" w:rsidRPr="001E50BC" w:rsidRDefault="003A17E2" w:rsidP="0008282E">
            <w:pPr>
              <w:spacing w:line="480" w:lineRule="auto"/>
              <w:rPr>
                <w:sz w:val="22"/>
                <w:szCs w:val="22"/>
              </w:rPr>
            </w:pPr>
            <w:r w:rsidRPr="001E50BC">
              <w:rPr>
                <w:sz w:val="22"/>
                <w:szCs w:val="22"/>
              </w:rPr>
              <w:t>Big Pit</w:t>
            </w:r>
          </w:p>
        </w:tc>
        <w:tc>
          <w:tcPr>
            <w:tcW w:w="1260" w:type="dxa"/>
          </w:tcPr>
          <w:p w14:paraId="18CDC35B" w14:textId="77777777" w:rsidR="003A17E2" w:rsidRPr="001E50BC" w:rsidRDefault="003A17E2" w:rsidP="0008282E">
            <w:pPr>
              <w:spacing w:line="480" w:lineRule="auto"/>
              <w:jc w:val="center"/>
              <w:rPr>
                <w:sz w:val="22"/>
                <w:szCs w:val="22"/>
              </w:rPr>
            </w:pPr>
            <w:r w:rsidRPr="001E50BC">
              <w:rPr>
                <w:sz w:val="22"/>
                <w:szCs w:val="22"/>
              </w:rPr>
              <w:t>11</w:t>
            </w:r>
          </w:p>
        </w:tc>
        <w:tc>
          <w:tcPr>
            <w:tcW w:w="2250" w:type="dxa"/>
          </w:tcPr>
          <w:p w14:paraId="28CC3FD2"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EB912E3"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752E01E1" w14:textId="77777777" w:rsidTr="0008282E">
        <w:tc>
          <w:tcPr>
            <w:tcW w:w="2965" w:type="dxa"/>
          </w:tcPr>
          <w:p w14:paraId="3E6498C0" w14:textId="77777777" w:rsidR="003A17E2" w:rsidRPr="001E50BC" w:rsidRDefault="003A17E2" w:rsidP="0008282E">
            <w:pPr>
              <w:spacing w:line="480" w:lineRule="auto"/>
              <w:rPr>
                <w:sz w:val="22"/>
                <w:szCs w:val="22"/>
              </w:rPr>
            </w:pPr>
            <w:r w:rsidRPr="001E50BC">
              <w:rPr>
                <w:sz w:val="22"/>
                <w:szCs w:val="22"/>
              </w:rPr>
              <w:t>FP3</w:t>
            </w:r>
          </w:p>
        </w:tc>
        <w:tc>
          <w:tcPr>
            <w:tcW w:w="1260" w:type="dxa"/>
          </w:tcPr>
          <w:p w14:paraId="3444E095" w14:textId="77777777" w:rsidR="003A17E2" w:rsidRPr="001E50BC" w:rsidRDefault="003A17E2" w:rsidP="0008282E">
            <w:pPr>
              <w:spacing w:line="480" w:lineRule="auto"/>
              <w:jc w:val="center"/>
              <w:rPr>
                <w:sz w:val="22"/>
                <w:szCs w:val="22"/>
              </w:rPr>
            </w:pPr>
            <w:r w:rsidRPr="001E50BC">
              <w:rPr>
                <w:sz w:val="22"/>
                <w:szCs w:val="22"/>
              </w:rPr>
              <w:t>0.7</w:t>
            </w:r>
          </w:p>
        </w:tc>
        <w:tc>
          <w:tcPr>
            <w:tcW w:w="2250" w:type="dxa"/>
          </w:tcPr>
          <w:p w14:paraId="51687E02"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30B6F050"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104E0685" w14:textId="77777777" w:rsidTr="0008282E">
        <w:tc>
          <w:tcPr>
            <w:tcW w:w="2965" w:type="dxa"/>
          </w:tcPr>
          <w:p w14:paraId="010B0642" w14:textId="77777777" w:rsidR="003A17E2" w:rsidRPr="001E50BC" w:rsidRDefault="003A17E2" w:rsidP="0008282E">
            <w:pPr>
              <w:spacing w:line="480" w:lineRule="auto"/>
              <w:rPr>
                <w:sz w:val="22"/>
                <w:szCs w:val="22"/>
              </w:rPr>
            </w:pPr>
            <w:r w:rsidRPr="001E50BC">
              <w:rPr>
                <w:sz w:val="22"/>
                <w:szCs w:val="22"/>
              </w:rPr>
              <w:t>Monroe County Lake</w:t>
            </w:r>
          </w:p>
        </w:tc>
        <w:tc>
          <w:tcPr>
            <w:tcW w:w="1260" w:type="dxa"/>
          </w:tcPr>
          <w:p w14:paraId="1EFBCCA6"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3CE6B866"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A3CF9F4"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1E4A5822" w14:textId="77777777" w:rsidTr="0008282E">
        <w:tc>
          <w:tcPr>
            <w:tcW w:w="2965" w:type="dxa"/>
          </w:tcPr>
          <w:p w14:paraId="1C5CDFFB" w14:textId="77777777" w:rsidR="003A17E2" w:rsidRPr="001E50BC" w:rsidRDefault="003A17E2" w:rsidP="0008282E">
            <w:pPr>
              <w:spacing w:line="480" w:lineRule="auto"/>
              <w:rPr>
                <w:sz w:val="22"/>
                <w:szCs w:val="22"/>
              </w:rPr>
            </w:pPr>
            <w:r w:rsidRPr="001E50BC">
              <w:rPr>
                <w:sz w:val="22"/>
                <w:szCs w:val="22"/>
              </w:rPr>
              <w:t>Little Pit</w:t>
            </w:r>
          </w:p>
        </w:tc>
        <w:tc>
          <w:tcPr>
            <w:tcW w:w="1260" w:type="dxa"/>
          </w:tcPr>
          <w:p w14:paraId="3209547C" w14:textId="77777777" w:rsidR="003A17E2" w:rsidRPr="001E50BC" w:rsidRDefault="003A17E2" w:rsidP="0008282E">
            <w:pPr>
              <w:spacing w:line="480" w:lineRule="auto"/>
              <w:jc w:val="center"/>
              <w:rPr>
                <w:sz w:val="22"/>
                <w:szCs w:val="22"/>
              </w:rPr>
            </w:pPr>
            <w:r w:rsidRPr="001E50BC">
              <w:rPr>
                <w:sz w:val="22"/>
                <w:szCs w:val="22"/>
              </w:rPr>
              <w:t>4</w:t>
            </w:r>
          </w:p>
        </w:tc>
        <w:tc>
          <w:tcPr>
            <w:tcW w:w="2250" w:type="dxa"/>
          </w:tcPr>
          <w:p w14:paraId="2AFAEAA5"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7088E5C"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63E190CC" w14:textId="77777777" w:rsidTr="0008282E">
        <w:tc>
          <w:tcPr>
            <w:tcW w:w="2965" w:type="dxa"/>
          </w:tcPr>
          <w:p w14:paraId="2523DBCE" w14:textId="77777777" w:rsidR="003A17E2" w:rsidRPr="001E50BC" w:rsidRDefault="003A17E2" w:rsidP="0008282E">
            <w:pPr>
              <w:spacing w:line="480" w:lineRule="auto"/>
              <w:rPr>
                <w:sz w:val="22"/>
                <w:szCs w:val="22"/>
              </w:rPr>
            </w:pPr>
            <w:r w:rsidRPr="001E50BC">
              <w:rPr>
                <w:sz w:val="22"/>
                <w:szCs w:val="22"/>
              </w:rPr>
              <w:t>S3</w:t>
            </w:r>
          </w:p>
        </w:tc>
        <w:tc>
          <w:tcPr>
            <w:tcW w:w="1260" w:type="dxa"/>
          </w:tcPr>
          <w:p w14:paraId="6BB4444D" w14:textId="77777777" w:rsidR="003A17E2" w:rsidRPr="001E50BC" w:rsidRDefault="003A17E2" w:rsidP="0008282E">
            <w:pPr>
              <w:spacing w:line="480" w:lineRule="auto"/>
              <w:jc w:val="center"/>
              <w:rPr>
                <w:sz w:val="22"/>
                <w:szCs w:val="22"/>
              </w:rPr>
            </w:pPr>
            <w:r w:rsidRPr="001E50BC">
              <w:rPr>
                <w:sz w:val="22"/>
                <w:szCs w:val="22"/>
              </w:rPr>
              <w:t>4</w:t>
            </w:r>
          </w:p>
        </w:tc>
        <w:tc>
          <w:tcPr>
            <w:tcW w:w="2250" w:type="dxa"/>
          </w:tcPr>
          <w:p w14:paraId="7DAD2F56"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7FDEFB3"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26D245C1" w14:textId="77777777" w:rsidTr="0008282E">
        <w:tc>
          <w:tcPr>
            <w:tcW w:w="2965" w:type="dxa"/>
          </w:tcPr>
          <w:p w14:paraId="5F7CDC2A" w14:textId="77777777" w:rsidR="003A17E2" w:rsidRPr="001E50BC" w:rsidRDefault="003A17E2" w:rsidP="0008282E">
            <w:pPr>
              <w:spacing w:line="480" w:lineRule="auto"/>
              <w:rPr>
                <w:sz w:val="22"/>
                <w:szCs w:val="22"/>
              </w:rPr>
            </w:pPr>
            <w:r w:rsidRPr="001E50BC">
              <w:rPr>
                <w:sz w:val="22"/>
                <w:szCs w:val="22"/>
              </w:rPr>
              <w:t>Horseshoe</w:t>
            </w:r>
          </w:p>
        </w:tc>
        <w:tc>
          <w:tcPr>
            <w:tcW w:w="1260" w:type="dxa"/>
          </w:tcPr>
          <w:p w14:paraId="54173357" w14:textId="77777777" w:rsidR="003A17E2" w:rsidRPr="001E50BC" w:rsidRDefault="003A17E2" w:rsidP="0008282E">
            <w:pPr>
              <w:spacing w:line="480" w:lineRule="auto"/>
              <w:jc w:val="center"/>
              <w:rPr>
                <w:sz w:val="22"/>
                <w:szCs w:val="22"/>
              </w:rPr>
            </w:pPr>
            <w:r w:rsidRPr="001E50BC">
              <w:rPr>
                <w:sz w:val="22"/>
                <w:szCs w:val="22"/>
              </w:rPr>
              <w:t>1.3</w:t>
            </w:r>
          </w:p>
        </w:tc>
        <w:tc>
          <w:tcPr>
            <w:tcW w:w="2250" w:type="dxa"/>
          </w:tcPr>
          <w:p w14:paraId="191962A8" w14:textId="77777777" w:rsidR="003A17E2" w:rsidRPr="001E50BC" w:rsidRDefault="003A17E2" w:rsidP="0008282E">
            <w:pPr>
              <w:spacing w:line="480" w:lineRule="auto"/>
              <w:jc w:val="center"/>
              <w:rPr>
                <w:sz w:val="22"/>
                <w:szCs w:val="22"/>
              </w:rPr>
            </w:pPr>
            <w:r w:rsidRPr="001E50BC">
              <w:rPr>
                <w:sz w:val="22"/>
                <w:szCs w:val="22"/>
              </w:rPr>
              <w:t>2017, 2018, 2019</w:t>
            </w:r>
          </w:p>
        </w:tc>
        <w:tc>
          <w:tcPr>
            <w:tcW w:w="1980" w:type="dxa"/>
          </w:tcPr>
          <w:p w14:paraId="7DEA7688" w14:textId="77777777" w:rsidR="003A17E2" w:rsidRPr="001E50BC" w:rsidRDefault="003A17E2" w:rsidP="0008282E">
            <w:pPr>
              <w:spacing w:line="480" w:lineRule="auto"/>
              <w:jc w:val="center"/>
              <w:rPr>
                <w:sz w:val="22"/>
                <w:szCs w:val="22"/>
              </w:rPr>
            </w:pPr>
            <w:r w:rsidRPr="001E50BC">
              <w:rPr>
                <w:sz w:val="22"/>
                <w:szCs w:val="22"/>
              </w:rPr>
              <w:t>2017, 2018</w:t>
            </w:r>
          </w:p>
        </w:tc>
      </w:tr>
      <w:tr w:rsidR="003A17E2" w:rsidRPr="001E50BC" w14:paraId="4421AE20" w14:textId="77777777" w:rsidTr="0008282E">
        <w:tc>
          <w:tcPr>
            <w:tcW w:w="2965" w:type="dxa"/>
          </w:tcPr>
          <w:p w14:paraId="6BCACAD0" w14:textId="3B916430" w:rsidR="003A17E2" w:rsidRPr="001E50BC" w:rsidRDefault="003A17E2" w:rsidP="0008282E">
            <w:pPr>
              <w:spacing w:line="480" w:lineRule="auto"/>
              <w:rPr>
                <w:sz w:val="22"/>
                <w:szCs w:val="22"/>
              </w:rPr>
            </w:pPr>
            <w:r w:rsidRPr="001E50BC">
              <w:rPr>
                <w:sz w:val="22"/>
                <w:szCs w:val="22"/>
              </w:rPr>
              <w:t>Drummond</w:t>
            </w:r>
            <w:r w:rsidR="009770C0">
              <w:rPr>
                <w:sz w:val="22"/>
                <w:szCs w:val="22"/>
              </w:rPr>
              <w:t xml:space="preserve"> </w:t>
            </w:r>
            <w:r w:rsidRPr="001E50BC">
              <w:rPr>
                <w:sz w:val="22"/>
                <w:szCs w:val="22"/>
              </w:rPr>
              <w:t>3</w:t>
            </w:r>
          </w:p>
        </w:tc>
        <w:tc>
          <w:tcPr>
            <w:tcW w:w="1260" w:type="dxa"/>
          </w:tcPr>
          <w:p w14:paraId="5DD37543" w14:textId="77777777" w:rsidR="003A17E2" w:rsidRPr="001E50BC" w:rsidRDefault="003A17E2" w:rsidP="0008282E">
            <w:pPr>
              <w:spacing w:line="480" w:lineRule="auto"/>
              <w:jc w:val="center"/>
              <w:rPr>
                <w:sz w:val="22"/>
                <w:szCs w:val="22"/>
              </w:rPr>
            </w:pPr>
            <w:r w:rsidRPr="001E50BC">
              <w:rPr>
                <w:sz w:val="22"/>
                <w:szCs w:val="22"/>
              </w:rPr>
              <w:t>8.8</w:t>
            </w:r>
          </w:p>
        </w:tc>
        <w:tc>
          <w:tcPr>
            <w:tcW w:w="2250" w:type="dxa"/>
          </w:tcPr>
          <w:p w14:paraId="1446742B"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6DE34D84"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CCF9C2B" w14:textId="77777777" w:rsidTr="0008282E">
        <w:tc>
          <w:tcPr>
            <w:tcW w:w="2965" w:type="dxa"/>
          </w:tcPr>
          <w:p w14:paraId="5B21CE20" w14:textId="77777777" w:rsidR="003A17E2" w:rsidRPr="001E50BC" w:rsidRDefault="003A17E2" w:rsidP="0008282E">
            <w:pPr>
              <w:spacing w:line="480" w:lineRule="auto"/>
              <w:rPr>
                <w:sz w:val="22"/>
                <w:szCs w:val="22"/>
              </w:rPr>
            </w:pPr>
            <w:r w:rsidRPr="001E50BC">
              <w:rPr>
                <w:sz w:val="22"/>
                <w:szCs w:val="22"/>
              </w:rPr>
              <w:t>Meriwether</w:t>
            </w:r>
          </w:p>
        </w:tc>
        <w:tc>
          <w:tcPr>
            <w:tcW w:w="1260" w:type="dxa"/>
          </w:tcPr>
          <w:p w14:paraId="3AED8CEC" w14:textId="77777777" w:rsidR="003A17E2" w:rsidRPr="001E50BC" w:rsidRDefault="003A17E2" w:rsidP="0008282E">
            <w:pPr>
              <w:spacing w:line="480" w:lineRule="auto"/>
              <w:jc w:val="center"/>
              <w:rPr>
                <w:sz w:val="22"/>
                <w:szCs w:val="22"/>
              </w:rPr>
            </w:pPr>
            <w:r w:rsidRPr="001E50BC">
              <w:rPr>
                <w:sz w:val="22"/>
                <w:szCs w:val="22"/>
              </w:rPr>
              <w:t>3.4</w:t>
            </w:r>
          </w:p>
        </w:tc>
        <w:tc>
          <w:tcPr>
            <w:tcW w:w="2250" w:type="dxa"/>
          </w:tcPr>
          <w:p w14:paraId="464417C5"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3D50B8D5"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5F7DF928" w14:textId="77777777" w:rsidTr="0008282E">
        <w:tc>
          <w:tcPr>
            <w:tcW w:w="2965" w:type="dxa"/>
          </w:tcPr>
          <w:p w14:paraId="23A700D4" w14:textId="77777777" w:rsidR="003A17E2" w:rsidRPr="001E50BC" w:rsidRDefault="003A17E2" w:rsidP="0008282E">
            <w:pPr>
              <w:spacing w:line="480" w:lineRule="auto"/>
              <w:rPr>
                <w:sz w:val="22"/>
                <w:szCs w:val="22"/>
              </w:rPr>
            </w:pPr>
            <w:r w:rsidRPr="001E50BC">
              <w:rPr>
                <w:sz w:val="22"/>
                <w:szCs w:val="22"/>
              </w:rPr>
              <w:t>Williams</w:t>
            </w:r>
          </w:p>
        </w:tc>
        <w:tc>
          <w:tcPr>
            <w:tcW w:w="1260" w:type="dxa"/>
          </w:tcPr>
          <w:p w14:paraId="58D78B5F" w14:textId="77777777" w:rsidR="003A17E2" w:rsidRPr="001E50BC" w:rsidRDefault="003A17E2" w:rsidP="0008282E">
            <w:pPr>
              <w:spacing w:line="480" w:lineRule="auto"/>
              <w:jc w:val="center"/>
              <w:rPr>
                <w:sz w:val="22"/>
                <w:szCs w:val="22"/>
              </w:rPr>
            </w:pPr>
            <w:r w:rsidRPr="001E50BC">
              <w:rPr>
                <w:sz w:val="22"/>
                <w:szCs w:val="22"/>
              </w:rPr>
              <w:t>3.3</w:t>
            </w:r>
          </w:p>
        </w:tc>
        <w:tc>
          <w:tcPr>
            <w:tcW w:w="2250" w:type="dxa"/>
          </w:tcPr>
          <w:p w14:paraId="600AAADB"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14496A41"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1904F001" w14:textId="77777777" w:rsidTr="0008282E">
        <w:tc>
          <w:tcPr>
            <w:tcW w:w="2965" w:type="dxa"/>
          </w:tcPr>
          <w:p w14:paraId="7ECC608C" w14:textId="77777777" w:rsidR="003A17E2" w:rsidRPr="001E50BC" w:rsidRDefault="003A17E2" w:rsidP="0008282E">
            <w:pPr>
              <w:spacing w:line="480" w:lineRule="auto"/>
              <w:rPr>
                <w:sz w:val="22"/>
                <w:szCs w:val="22"/>
              </w:rPr>
            </w:pPr>
            <w:r w:rsidRPr="001E50BC">
              <w:rPr>
                <w:sz w:val="22"/>
                <w:szCs w:val="22"/>
              </w:rPr>
              <w:t>Promise</w:t>
            </w:r>
          </w:p>
        </w:tc>
        <w:tc>
          <w:tcPr>
            <w:tcW w:w="1260" w:type="dxa"/>
          </w:tcPr>
          <w:p w14:paraId="01A0E615" w14:textId="77777777" w:rsidR="003A17E2" w:rsidRPr="001E50BC" w:rsidRDefault="003A17E2" w:rsidP="0008282E">
            <w:pPr>
              <w:spacing w:line="480" w:lineRule="auto"/>
              <w:jc w:val="center"/>
              <w:rPr>
                <w:sz w:val="22"/>
                <w:szCs w:val="22"/>
              </w:rPr>
            </w:pPr>
            <w:r w:rsidRPr="001E50BC">
              <w:rPr>
                <w:sz w:val="22"/>
                <w:szCs w:val="22"/>
              </w:rPr>
              <w:t>1.9</w:t>
            </w:r>
          </w:p>
        </w:tc>
        <w:tc>
          <w:tcPr>
            <w:tcW w:w="2250" w:type="dxa"/>
          </w:tcPr>
          <w:p w14:paraId="14A753A0"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723FEA1B" w14:textId="77777777" w:rsidR="003A17E2" w:rsidRPr="001E50BC" w:rsidRDefault="003A17E2" w:rsidP="0008282E">
            <w:pPr>
              <w:spacing w:line="480" w:lineRule="auto"/>
              <w:jc w:val="center"/>
              <w:rPr>
                <w:sz w:val="22"/>
                <w:szCs w:val="22"/>
              </w:rPr>
            </w:pPr>
            <w:r>
              <w:rPr>
                <w:sz w:val="22"/>
                <w:szCs w:val="22"/>
              </w:rPr>
              <w:t>control</w:t>
            </w:r>
          </w:p>
        </w:tc>
      </w:tr>
      <w:tr w:rsidR="003A17E2" w:rsidRPr="001E50BC" w14:paraId="4C53B8CE" w14:textId="77777777" w:rsidTr="0008282E">
        <w:tc>
          <w:tcPr>
            <w:tcW w:w="2965" w:type="dxa"/>
          </w:tcPr>
          <w:p w14:paraId="6D781EAB" w14:textId="53BD5DC7" w:rsidR="003A17E2" w:rsidRPr="001E50BC" w:rsidRDefault="003A17E2" w:rsidP="0008282E">
            <w:pPr>
              <w:spacing w:line="480" w:lineRule="auto"/>
              <w:rPr>
                <w:sz w:val="22"/>
                <w:szCs w:val="22"/>
              </w:rPr>
            </w:pPr>
            <w:r w:rsidRPr="001E50BC">
              <w:rPr>
                <w:sz w:val="22"/>
                <w:szCs w:val="22"/>
              </w:rPr>
              <w:t>Drummond</w:t>
            </w:r>
            <w:r w:rsidR="009770C0">
              <w:rPr>
                <w:sz w:val="22"/>
                <w:szCs w:val="22"/>
              </w:rPr>
              <w:t xml:space="preserve"> </w:t>
            </w:r>
            <w:r w:rsidRPr="001E50BC">
              <w:rPr>
                <w:sz w:val="22"/>
                <w:szCs w:val="22"/>
              </w:rPr>
              <w:t>1</w:t>
            </w:r>
          </w:p>
        </w:tc>
        <w:tc>
          <w:tcPr>
            <w:tcW w:w="1260" w:type="dxa"/>
          </w:tcPr>
          <w:p w14:paraId="343D6AD3" w14:textId="77777777" w:rsidR="003A17E2" w:rsidRPr="001E50BC" w:rsidRDefault="003A17E2" w:rsidP="0008282E">
            <w:pPr>
              <w:spacing w:line="480" w:lineRule="auto"/>
              <w:jc w:val="center"/>
              <w:rPr>
                <w:sz w:val="22"/>
                <w:szCs w:val="22"/>
              </w:rPr>
            </w:pPr>
            <w:r w:rsidRPr="001E50BC">
              <w:rPr>
                <w:sz w:val="22"/>
                <w:szCs w:val="22"/>
              </w:rPr>
              <w:t>8.7</w:t>
            </w:r>
          </w:p>
        </w:tc>
        <w:tc>
          <w:tcPr>
            <w:tcW w:w="2250" w:type="dxa"/>
          </w:tcPr>
          <w:p w14:paraId="3337FF4A"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06497D2C"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04C59691" w14:textId="77777777" w:rsidTr="0008282E">
        <w:tc>
          <w:tcPr>
            <w:tcW w:w="2965" w:type="dxa"/>
          </w:tcPr>
          <w:p w14:paraId="42E59D0A" w14:textId="77777777" w:rsidR="003A17E2" w:rsidRPr="001E50BC" w:rsidRDefault="003A17E2" w:rsidP="0008282E">
            <w:pPr>
              <w:spacing w:line="480" w:lineRule="auto"/>
              <w:rPr>
                <w:sz w:val="22"/>
                <w:szCs w:val="22"/>
              </w:rPr>
            </w:pPr>
            <w:r w:rsidRPr="001E50BC">
              <w:rPr>
                <w:sz w:val="22"/>
                <w:szCs w:val="22"/>
              </w:rPr>
              <w:t>Britton</w:t>
            </w:r>
          </w:p>
        </w:tc>
        <w:tc>
          <w:tcPr>
            <w:tcW w:w="1260" w:type="dxa"/>
          </w:tcPr>
          <w:p w14:paraId="7DC6592D" w14:textId="77777777" w:rsidR="003A17E2" w:rsidRPr="001E50BC" w:rsidRDefault="003A17E2" w:rsidP="0008282E">
            <w:pPr>
              <w:spacing w:line="480" w:lineRule="auto"/>
              <w:jc w:val="center"/>
              <w:rPr>
                <w:sz w:val="22"/>
                <w:szCs w:val="22"/>
              </w:rPr>
            </w:pPr>
            <w:r w:rsidRPr="001E50BC">
              <w:rPr>
                <w:sz w:val="22"/>
                <w:szCs w:val="22"/>
              </w:rPr>
              <w:t>2.2</w:t>
            </w:r>
          </w:p>
        </w:tc>
        <w:tc>
          <w:tcPr>
            <w:tcW w:w="2250" w:type="dxa"/>
          </w:tcPr>
          <w:p w14:paraId="3D581DAA"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7876E895"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0461AAA4" w14:textId="77777777" w:rsidTr="0008282E">
        <w:tc>
          <w:tcPr>
            <w:tcW w:w="2965" w:type="dxa"/>
          </w:tcPr>
          <w:p w14:paraId="2B2DE4A9" w14:textId="77777777" w:rsidR="003A17E2" w:rsidRPr="001E50BC" w:rsidRDefault="003A17E2" w:rsidP="0008282E">
            <w:pPr>
              <w:spacing w:line="480" w:lineRule="auto"/>
              <w:rPr>
                <w:sz w:val="22"/>
                <w:szCs w:val="22"/>
              </w:rPr>
            </w:pPr>
            <w:r w:rsidRPr="001E50BC">
              <w:rPr>
                <w:sz w:val="22"/>
                <w:szCs w:val="22"/>
              </w:rPr>
              <w:t>Zachry</w:t>
            </w:r>
          </w:p>
        </w:tc>
        <w:tc>
          <w:tcPr>
            <w:tcW w:w="1260" w:type="dxa"/>
          </w:tcPr>
          <w:p w14:paraId="1AA9F2C6" w14:textId="77777777" w:rsidR="003A17E2" w:rsidRPr="001E50BC" w:rsidRDefault="003A17E2" w:rsidP="0008282E">
            <w:pPr>
              <w:spacing w:line="480" w:lineRule="auto"/>
              <w:jc w:val="center"/>
              <w:rPr>
                <w:sz w:val="22"/>
                <w:szCs w:val="22"/>
              </w:rPr>
            </w:pPr>
            <w:r w:rsidRPr="001E50BC">
              <w:rPr>
                <w:sz w:val="22"/>
                <w:szCs w:val="22"/>
              </w:rPr>
              <w:t>5.3</w:t>
            </w:r>
          </w:p>
        </w:tc>
        <w:tc>
          <w:tcPr>
            <w:tcW w:w="2250" w:type="dxa"/>
          </w:tcPr>
          <w:p w14:paraId="04D3656F"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3CE6FC16" w14:textId="77777777" w:rsidR="003A17E2" w:rsidRPr="001E50BC" w:rsidRDefault="003A17E2" w:rsidP="0008282E">
            <w:pPr>
              <w:spacing w:line="480" w:lineRule="auto"/>
              <w:jc w:val="center"/>
              <w:rPr>
                <w:sz w:val="22"/>
                <w:szCs w:val="22"/>
              </w:rPr>
            </w:pPr>
            <w:r w:rsidRPr="001E50BC">
              <w:rPr>
                <w:sz w:val="22"/>
                <w:szCs w:val="22"/>
              </w:rPr>
              <w:t>2018</w:t>
            </w:r>
          </w:p>
        </w:tc>
      </w:tr>
      <w:tr w:rsidR="003A17E2" w:rsidRPr="001E50BC" w14:paraId="77D2EC2D" w14:textId="77777777" w:rsidTr="0008282E">
        <w:tc>
          <w:tcPr>
            <w:tcW w:w="2965" w:type="dxa"/>
          </w:tcPr>
          <w:p w14:paraId="31DC1678" w14:textId="77777777" w:rsidR="003A17E2" w:rsidRPr="001E50BC" w:rsidRDefault="003A17E2" w:rsidP="0008282E">
            <w:pPr>
              <w:spacing w:line="480" w:lineRule="auto"/>
              <w:rPr>
                <w:sz w:val="22"/>
                <w:szCs w:val="22"/>
              </w:rPr>
            </w:pPr>
            <w:r w:rsidRPr="001E50BC">
              <w:rPr>
                <w:sz w:val="22"/>
                <w:szCs w:val="22"/>
              </w:rPr>
              <w:t>Dead</w:t>
            </w:r>
          </w:p>
        </w:tc>
        <w:tc>
          <w:tcPr>
            <w:tcW w:w="1260" w:type="dxa"/>
          </w:tcPr>
          <w:p w14:paraId="6356B89B" w14:textId="77777777" w:rsidR="003A17E2" w:rsidRPr="001E50BC" w:rsidRDefault="003A17E2" w:rsidP="0008282E">
            <w:pPr>
              <w:spacing w:line="480" w:lineRule="auto"/>
              <w:jc w:val="center"/>
              <w:rPr>
                <w:sz w:val="22"/>
                <w:szCs w:val="22"/>
              </w:rPr>
            </w:pPr>
            <w:r w:rsidRPr="001E50BC">
              <w:rPr>
                <w:sz w:val="22"/>
                <w:szCs w:val="22"/>
              </w:rPr>
              <w:t>2.2</w:t>
            </w:r>
          </w:p>
        </w:tc>
        <w:tc>
          <w:tcPr>
            <w:tcW w:w="2250" w:type="dxa"/>
          </w:tcPr>
          <w:p w14:paraId="10F5094C" w14:textId="77777777" w:rsidR="003A17E2" w:rsidRPr="001E50BC" w:rsidRDefault="003A17E2" w:rsidP="0008282E">
            <w:pPr>
              <w:spacing w:line="480" w:lineRule="auto"/>
              <w:jc w:val="center"/>
              <w:rPr>
                <w:sz w:val="22"/>
                <w:szCs w:val="22"/>
              </w:rPr>
            </w:pPr>
            <w:r w:rsidRPr="001E50BC">
              <w:rPr>
                <w:sz w:val="22"/>
                <w:szCs w:val="22"/>
              </w:rPr>
              <w:t>2018, 2019</w:t>
            </w:r>
          </w:p>
        </w:tc>
        <w:tc>
          <w:tcPr>
            <w:tcW w:w="1980" w:type="dxa"/>
          </w:tcPr>
          <w:p w14:paraId="23726D2C" w14:textId="77777777" w:rsidR="003A17E2" w:rsidRPr="001E50BC" w:rsidRDefault="003A17E2" w:rsidP="0008282E">
            <w:pPr>
              <w:spacing w:line="480" w:lineRule="auto"/>
              <w:jc w:val="center"/>
              <w:rPr>
                <w:sz w:val="22"/>
                <w:szCs w:val="22"/>
              </w:rPr>
            </w:pPr>
            <w:r w:rsidRPr="001E50BC">
              <w:rPr>
                <w:sz w:val="22"/>
                <w:szCs w:val="22"/>
              </w:rPr>
              <w:t>2018</w:t>
            </w:r>
          </w:p>
        </w:tc>
      </w:tr>
    </w:tbl>
    <w:p w14:paraId="1D87DE06" w14:textId="77777777" w:rsidR="003A17E2" w:rsidRDefault="003A17E2" w:rsidP="00C864A4">
      <w:pPr>
        <w:spacing w:line="480" w:lineRule="auto"/>
      </w:pPr>
    </w:p>
    <w:p w14:paraId="7B79E8D8" w14:textId="55652DA3" w:rsidR="003A17E2" w:rsidRDefault="003A17E2" w:rsidP="00C864A4">
      <w:pPr>
        <w:spacing w:line="480" w:lineRule="auto"/>
      </w:pPr>
      <w:r>
        <w:t xml:space="preserve">[A]Figure Captions </w:t>
      </w:r>
    </w:p>
    <w:p w14:paraId="30A320EA" w14:textId="77777777" w:rsidR="003A17E2" w:rsidRDefault="003A17E2" w:rsidP="003A17E2">
      <w:pPr>
        <w:spacing w:line="480" w:lineRule="auto"/>
      </w:pPr>
      <w:r w:rsidRPr="001E50BC">
        <w:t>Figure 1.</w:t>
      </w:r>
    </w:p>
    <w:p w14:paraId="7D327185" w14:textId="3F58A165" w:rsidR="003A17E2" w:rsidRDefault="003A17E2" w:rsidP="003A17E2">
      <w:pPr>
        <w:spacing w:line="480" w:lineRule="auto"/>
      </w:pPr>
      <w:r>
        <w:t>Map of small impoundments studied</w:t>
      </w:r>
      <w:r w:rsidR="00C43B8C">
        <w:t xml:space="preserve"> in southern Alabama, USA</w:t>
      </w:r>
      <w:r>
        <w:t>. Controls are grey triangles and treatments are black circles.</w:t>
      </w:r>
      <w:r w:rsidR="00C43B8C">
        <w:t xml:space="preserve"> Horseshoe (treatment), Little Pit (treatment), and Big Pit (control) are all three within 50 meters of each other, so the symbols almost completely overlap.</w:t>
      </w:r>
      <w:r>
        <w:t xml:space="preserve"> All names ending with “County Lake” represent the large-sized impoundments, while all the other names are the small-sized impoundments. </w:t>
      </w:r>
    </w:p>
    <w:p w14:paraId="515FCFAC" w14:textId="77777777" w:rsidR="003A17E2" w:rsidRDefault="003A17E2" w:rsidP="00C864A4">
      <w:pPr>
        <w:spacing w:line="480" w:lineRule="auto"/>
      </w:pPr>
    </w:p>
    <w:p w14:paraId="13C1927B" w14:textId="77777777" w:rsidR="003A17E2" w:rsidRDefault="003A17E2" w:rsidP="003A17E2">
      <w:pPr>
        <w:spacing w:line="480" w:lineRule="auto"/>
      </w:pPr>
      <w:r>
        <w:t>Figure 2.</w:t>
      </w:r>
    </w:p>
    <w:p w14:paraId="041D330F" w14:textId="77777777" w:rsidR="003A17E2" w:rsidRDefault="003A17E2" w:rsidP="003A17E2">
      <w:pPr>
        <w:spacing w:line="480" w:lineRule="auto"/>
      </w:pPr>
      <w:r>
        <w:t>Largemouth Bass log</w:t>
      </w:r>
      <w:r>
        <w:rPr>
          <w:vertAlign w:val="subscript"/>
        </w:rPr>
        <w:t>e</w:t>
      </w:r>
      <w:r>
        <w:t xml:space="preserve"> total seine catches immediately before (days 1 and 21) and after (days 2 and 22) the first (“App. 1”; black lines) and second (“App. 2”; grey lines) shoreline rotenone applications in small (&lt;12 ha; upper panel) and large (&gt;33 ha; lower panel) impoundments. Solid lines denote treated impoundments and dashed lines denote controls. Observations were pooled across years (2017 and 2018) and error bars represent the 2.5</w:t>
      </w:r>
      <w:r w:rsidRPr="00E17D2F">
        <w:rPr>
          <w:vertAlign w:val="superscript"/>
        </w:rPr>
        <w:t>th</w:t>
      </w:r>
      <w:r>
        <w:t xml:space="preserve"> and 97.5</w:t>
      </w:r>
      <w:r w:rsidRPr="00E17D2F">
        <w:rPr>
          <w:vertAlign w:val="superscript"/>
        </w:rPr>
        <w:t>th</w:t>
      </w:r>
      <w:r>
        <w:t xml:space="preserve"> percentiles (95% confidence intervals). </w:t>
      </w:r>
    </w:p>
    <w:p w14:paraId="7E36B4C3" w14:textId="77777777" w:rsidR="003A17E2" w:rsidRDefault="003A17E2" w:rsidP="00C864A4">
      <w:pPr>
        <w:spacing w:line="480" w:lineRule="auto"/>
      </w:pPr>
    </w:p>
    <w:p w14:paraId="43666A8F" w14:textId="77777777" w:rsidR="003A17E2" w:rsidRDefault="003A17E2" w:rsidP="003A17E2">
      <w:pPr>
        <w:spacing w:line="480" w:lineRule="auto"/>
      </w:pPr>
      <w:r>
        <w:t>Figure 3.</w:t>
      </w:r>
    </w:p>
    <w:p w14:paraId="4B12C48B" w14:textId="77777777" w:rsidR="003A17E2" w:rsidRDefault="003A17E2" w:rsidP="003A17E2">
      <w:pPr>
        <w:spacing w:line="480" w:lineRule="auto"/>
      </w:pPr>
      <w:r>
        <w:t>Bluegill log</w:t>
      </w:r>
      <w:r>
        <w:rPr>
          <w:vertAlign w:val="subscript"/>
        </w:rPr>
        <w:t>e</w:t>
      </w:r>
      <w:r>
        <w:t xml:space="preserve"> total seine catches immediately before (days 1 and 21) and after (days 2 and 22) the first (“App. 1”; black lines) and second (“App. 2”; grey lines) shoreline rotenone applications in small (&lt;12 ha; upper panel) and large (&gt;33 ha; lower panel) impoundments. Data are presented as in Figure 2. </w:t>
      </w:r>
    </w:p>
    <w:p w14:paraId="0C5A2111" w14:textId="77777777" w:rsidR="003A17E2" w:rsidRDefault="003A17E2" w:rsidP="00C864A4">
      <w:pPr>
        <w:spacing w:line="480" w:lineRule="auto"/>
      </w:pPr>
    </w:p>
    <w:p w14:paraId="0D8D0793" w14:textId="77777777" w:rsidR="003A17E2" w:rsidRDefault="003A17E2" w:rsidP="003A17E2">
      <w:pPr>
        <w:spacing w:line="480" w:lineRule="auto"/>
      </w:pPr>
      <w:r>
        <w:lastRenderedPageBreak/>
        <w:t>Figure 4.</w:t>
      </w:r>
    </w:p>
    <w:p w14:paraId="76683F48" w14:textId="77777777" w:rsidR="003A17E2" w:rsidRDefault="003A17E2" w:rsidP="003A17E2">
      <w:pPr>
        <w:spacing w:line="480" w:lineRule="auto"/>
      </w:pPr>
      <w:r>
        <w:t>Largemouth Bass log</w:t>
      </w:r>
      <w:r>
        <w:rPr>
          <w:vertAlign w:val="subscript"/>
        </w:rPr>
        <w:t>e</w:t>
      </w:r>
      <w:r>
        <w:t xml:space="preserve"> total seine catches in small (&lt;12 ha; upper panel) and large (&gt;33 ha; lower panel) impoundments immediately before rotenone application (day 1) and at mid-summer after both rotenone applications (day 42). Solid lines denote impoundments that received shoreline rotenone treatments, and dashed lines denote controls. Data were pooled across years (2017, 2018) and error bars represent 95% confidence intervals. </w:t>
      </w:r>
    </w:p>
    <w:p w14:paraId="38206EEF" w14:textId="77777777" w:rsidR="003A17E2" w:rsidRDefault="003A17E2" w:rsidP="00C864A4">
      <w:pPr>
        <w:spacing w:line="480" w:lineRule="auto"/>
      </w:pPr>
    </w:p>
    <w:p w14:paraId="5BA4AA4B" w14:textId="77777777" w:rsidR="003A17E2" w:rsidRDefault="003A17E2" w:rsidP="003A17E2">
      <w:pPr>
        <w:spacing w:line="480" w:lineRule="auto"/>
      </w:pPr>
      <w:r>
        <w:t>Figure 5.</w:t>
      </w:r>
    </w:p>
    <w:p w14:paraId="5725DF14" w14:textId="77777777" w:rsidR="003A17E2" w:rsidRDefault="003A17E2" w:rsidP="003A17E2">
      <w:pPr>
        <w:spacing w:line="480" w:lineRule="auto"/>
      </w:pPr>
      <w:r>
        <w:t>Bluegill log</w:t>
      </w:r>
      <w:r>
        <w:rPr>
          <w:vertAlign w:val="subscript"/>
        </w:rPr>
        <w:t>e</w:t>
      </w:r>
      <w:r>
        <w:t xml:space="preserve"> total seine catches in small (&lt;12 ha; upper panel) and large (&gt;33 ha; lower panel) impoundments immediately before rotenone application (day 1) and at mid-summer after both rotenone applications (day 42). Data are presented as in Figure 4. </w:t>
      </w:r>
    </w:p>
    <w:p w14:paraId="1975ADB4" w14:textId="77777777" w:rsidR="003A17E2" w:rsidRDefault="003A17E2" w:rsidP="00C864A4">
      <w:pPr>
        <w:spacing w:line="480" w:lineRule="auto"/>
      </w:pPr>
    </w:p>
    <w:p w14:paraId="440D9EBA" w14:textId="77777777" w:rsidR="003A17E2" w:rsidRDefault="003A17E2" w:rsidP="003A17E2">
      <w:pPr>
        <w:spacing w:line="480" w:lineRule="auto"/>
      </w:pPr>
      <w:r>
        <w:t>Figure 6.</w:t>
      </w:r>
    </w:p>
    <w:p w14:paraId="598F2E9E" w14:textId="77777777" w:rsidR="003A17E2" w:rsidRDefault="003A17E2" w:rsidP="003A17E2">
      <w:pPr>
        <w:spacing w:line="480" w:lineRule="auto"/>
      </w:pPr>
      <w:r>
        <w:t>Largemouth Bass log</w:t>
      </w:r>
      <w:r>
        <w:rPr>
          <w:vertAlign w:val="subscript"/>
        </w:rPr>
        <w:t>e</w:t>
      </w:r>
      <w:r>
        <w:t xml:space="preserve"> MLA-0 in small (&lt;12 ha; upper panel) and large (&gt;33 ha; lower panel) impoundments immediately before rotenone application (day 1) and at mid-summer after both rotenone applications (day 42). Data are presented as in Figure 4.</w:t>
      </w:r>
    </w:p>
    <w:p w14:paraId="5095B12D" w14:textId="77777777" w:rsidR="003A17E2" w:rsidRDefault="003A17E2" w:rsidP="00C864A4">
      <w:pPr>
        <w:spacing w:line="480" w:lineRule="auto"/>
      </w:pPr>
    </w:p>
    <w:p w14:paraId="6F3FB3CD" w14:textId="77777777" w:rsidR="003A17E2" w:rsidRDefault="003A17E2" w:rsidP="003A17E2">
      <w:pPr>
        <w:spacing w:line="480" w:lineRule="auto"/>
      </w:pPr>
      <w:r>
        <w:t>Figure 7.</w:t>
      </w:r>
    </w:p>
    <w:p w14:paraId="79E1AB4B" w14:textId="77777777" w:rsidR="003A17E2" w:rsidRDefault="003A17E2" w:rsidP="003A17E2">
      <w:pPr>
        <w:spacing w:line="480" w:lineRule="auto"/>
      </w:pPr>
      <w:r>
        <w:t>Temporal trends in Largemouth Bass log</w:t>
      </w:r>
      <w:r>
        <w:rPr>
          <w:vertAlign w:val="subscript"/>
        </w:rPr>
        <w:t>e</w:t>
      </w:r>
      <w:r>
        <w:t xml:space="preserve"> MLA-1 in small (&lt;12 ha; upper panel) and large (&gt;33 ha; lower panel) impoundments in control (dashed lines) and treatment (solid lines) impoundments. Open circles denote untreated impoundments, while closed circles denote treated impoundments. Solid lines leading from a closed circle to another closed circle represent the impoundments that were treated twice (e.g., see Table 1). Times treated (untreated control, once, </w:t>
      </w:r>
      <w:r>
        <w:lastRenderedPageBreak/>
        <w:t xml:space="preserve">twice) was the variable of interest in our model, and this portrays how the model compared those different levels of treatment. Error bars represent the 95% confidence intervals of the data when the sample size for that year was greater than two impoundments. </w:t>
      </w:r>
    </w:p>
    <w:p w14:paraId="0EFAFA54" w14:textId="77777777" w:rsidR="003A17E2" w:rsidRDefault="003A17E2" w:rsidP="00C864A4">
      <w:pPr>
        <w:spacing w:line="480" w:lineRule="auto"/>
      </w:pPr>
    </w:p>
    <w:p w14:paraId="2C68A763" w14:textId="77777777" w:rsidR="003A17E2" w:rsidRDefault="003A17E2" w:rsidP="003A17E2">
      <w:pPr>
        <w:spacing w:line="480" w:lineRule="auto"/>
      </w:pPr>
      <w:r>
        <w:t>Figure 8.</w:t>
      </w:r>
    </w:p>
    <w:p w14:paraId="45EA4D51" w14:textId="77777777" w:rsidR="003A17E2" w:rsidRDefault="003A17E2" w:rsidP="003A17E2">
      <w:pPr>
        <w:spacing w:line="480" w:lineRule="auto"/>
      </w:pPr>
      <w:r>
        <w:t>Temporal trends in age-1 Largemouth Bass log</w:t>
      </w:r>
      <w:r>
        <w:rPr>
          <w:vertAlign w:val="subscript"/>
        </w:rPr>
        <w:t>e</w:t>
      </w:r>
      <w:r>
        <w:t xml:space="preserve"> electrofishing CPUE (</w:t>
      </w:r>
      <w:r w:rsidRPr="00C737D8">
        <w:t>fish caught per 30 minutes electrofishing</w:t>
      </w:r>
      <w:r>
        <w:t>)—as a proxy for recruitment—in small (&lt;12 ha; upper panel) and large (&gt;33 ha; lower panel), and control (dashed lines) and treatment (solid lines) impoundments. Open circles denote untreated impoundments, while closed circles denote treated impoundments. Data are presented as in Figure 7.</w:t>
      </w:r>
    </w:p>
    <w:p w14:paraId="608E4BD0" w14:textId="77777777" w:rsidR="003A17E2" w:rsidRDefault="003A17E2" w:rsidP="00C864A4">
      <w:pPr>
        <w:spacing w:line="480" w:lineRule="auto"/>
      </w:pPr>
    </w:p>
    <w:p w14:paraId="112585AB" w14:textId="77777777" w:rsidR="003A17E2" w:rsidRDefault="003A17E2" w:rsidP="003A17E2">
      <w:pPr>
        <w:spacing w:line="480" w:lineRule="auto"/>
      </w:pPr>
      <w:r>
        <w:t>Figure 9.</w:t>
      </w:r>
    </w:p>
    <w:p w14:paraId="11AAB581" w14:textId="5D01BD93" w:rsidR="003A17E2" w:rsidRDefault="003A17E2" w:rsidP="00C864A4">
      <w:pPr>
        <w:spacing w:line="480" w:lineRule="auto"/>
      </w:pPr>
      <w:r>
        <w:t>Temporal trends in Bluegill (&gt;80 mm) log</w:t>
      </w:r>
      <w:r>
        <w:rPr>
          <w:vertAlign w:val="subscript"/>
        </w:rPr>
        <w:t>e</w:t>
      </w:r>
      <w:r>
        <w:t xml:space="preserve"> electrofishing CPUE (</w:t>
      </w:r>
      <w:r w:rsidRPr="00C737D8">
        <w:t>fish caught per 30 minutes electrofishing</w:t>
      </w:r>
      <w:r>
        <w:t>) in small (&lt;12 ha; upper panel) and large (&gt;33 ha; lower panel), and control (dashed lines) and treatment (solid lines) impoundments. Open circles denote untreated impoundments, while closed circles denote treated impoundments. Data are presented as in Figure 7.</w:t>
      </w:r>
    </w:p>
    <w:p w14:paraId="66130297" w14:textId="77777777" w:rsidR="003A17E2" w:rsidRDefault="003A17E2" w:rsidP="00C864A4">
      <w:pPr>
        <w:spacing w:line="480" w:lineRule="auto"/>
      </w:pPr>
    </w:p>
    <w:p w14:paraId="4D02AA6F" w14:textId="249D2D11" w:rsidR="001F2088" w:rsidRDefault="001F2088" w:rsidP="00C864A4">
      <w:pPr>
        <w:spacing w:line="480" w:lineRule="auto"/>
      </w:pPr>
      <w:r>
        <w:t>[A]Supporting Information</w:t>
      </w:r>
    </w:p>
    <w:p w14:paraId="11827B22" w14:textId="6D2C75D0" w:rsidR="001F2088" w:rsidRDefault="001F2088" w:rsidP="001F2088">
      <w:pPr>
        <w:tabs>
          <w:tab w:val="left" w:pos="920"/>
        </w:tabs>
        <w:spacing w:line="480" w:lineRule="auto"/>
      </w:pPr>
      <w:r>
        <w:t xml:space="preserve">Data supporting the findings of this study are openly available in GitHub: </w:t>
      </w:r>
      <w:r w:rsidRPr="00ED1126">
        <w:rPr>
          <w:i/>
          <w:iCs/>
        </w:rPr>
        <w:t>link</w:t>
      </w:r>
      <w:r>
        <w:t xml:space="preserve">. Please contact </w:t>
      </w:r>
      <w:r w:rsidR="001A139E" w:rsidRPr="001A139E">
        <w:rPr>
          <w:i/>
          <w:iCs/>
        </w:rPr>
        <w:t>name of corresponding author</w:t>
      </w:r>
      <w:r w:rsidR="001A139E">
        <w:t xml:space="preserve"> </w:t>
      </w:r>
      <w:r>
        <w:t xml:space="preserve">for data-related questions. </w:t>
      </w:r>
    </w:p>
    <w:sectPr w:rsidR="001F2088"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78D85" w14:textId="77777777" w:rsidR="00CC6D6D" w:rsidRDefault="00CC6D6D" w:rsidP="00103A7F">
      <w:r>
        <w:separator/>
      </w:r>
    </w:p>
  </w:endnote>
  <w:endnote w:type="continuationSeparator" w:id="0">
    <w:p w14:paraId="18E2BE64" w14:textId="77777777" w:rsidR="00CC6D6D" w:rsidRDefault="00CC6D6D" w:rsidP="0010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906979"/>
      <w:docPartObj>
        <w:docPartGallery w:val="Page Numbers (Bottom of Page)"/>
        <w:docPartUnique/>
      </w:docPartObj>
    </w:sdtPr>
    <w:sdtContent>
      <w:p w14:paraId="79402E9E" w14:textId="4EFDAE05" w:rsidR="00103A7F" w:rsidRDefault="00103A7F"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004411" w14:textId="77777777" w:rsidR="00103A7F" w:rsidRDefault="00103A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557333"/>
      <w:docPartObj>
        <w:docPartGallery w:val="Page Numbers (Bottom of Page)"/>
        <w:docPartUnique/>
      </w:docPartObj>
    </w:sdtPr>
    <w:sdtContent>
      <w:p w14:paraId="12BCFA63" w14:textId="6E269F84" w:rsidR="00103A7F" w:rsidRDefault="00103A7F"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3AF45B" w14:textId="77777777" w:rsidR="00103A7F" w:rsidRDefault="00103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A8370" w14:textId="77777777" w:rsidR="00CC6D6D" w:rsidRDefault="00CC6D6D" w:rsidP="00103A7F">
      <w:r>
        <w:separator/>
      </w:r>
    </w:p>
  </w:footnote>
  <w:footnote w:type="continuationSeparator" w:id="0">
    <w:p w14:paraId="16A219C6" w14:textId="77777777" w:rsidR="00CC6D6D" w:rsidRDefault="00CC6D6D" w:rsidP="00103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3E"/>
    <w:rsid w:val="00103A7F"/>
    <w:rsid w:val="001A139E"/>
    <w:rsid w:val="001C0BDE"/>
    <w:rsid w:val="001F2088"/>
    <w:rsid w:val="002714D6"/>
    <w:rsid w:val="00280BCC"/>
    <w:rsid w:val="003A17E2"/>
    <w:rsid w:val="00617588"/>
    <w:rsid w:val="0069401D"/>
    <w:rsid w:val="007B0559"/>
    <w:rsid w:val="0080493E"/>
    <w:rsid w:val="00870E19"/>
    <w:rsid w:val="009770C0"/>
    <w:rsid w:val="00982951"/>
    <w:rsid w:val="00A700AE"/>
    <w:rsid w:val="00AE3651"/>
    <w:rsid w:val="00B928FB"/>
    <w:rsid w:val="00C43B8C"/>
    <w:rsid w:val="00C44731"/>
    <w:rsid w:val="00C45868"/>
    <w:rsid w:val="00C864A4"/>
    <w:rsid w:val="00CC6D6D"/>
    <w:rsid w:val="00CD774F"/>
    <w:rsid w:val="00E225CF"/>
    <w:rsid w:val="00E427BD"/>
    <w:rsid w:val="00ED1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12299"/>
  <w14:defaultImageDpi w14:val="32767"/>
  <w15:chartTrackingRefBased/>
  <w15:docId w15:val="{93D24624-434A-944F-91E9-D21B0B818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0493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03A7F"/>
    <w:pPr>
      <w:tabs>
        <w:tab w:val="center" w:pos="4680"/>
        <w:tab w:val="right" w:pos="9360"/>
      </w:tabs>
    </w:pPr>
  </w:style>
  <w:style w:type="character" w:customStyle="1" w:styleId="FooterChar">
    <w:name w:val="Footer Char"/>
    <w:basedOn w:val="DefaultParagraphFont"/>
    <w:link w:val="Footer"/>
    <w:uiPriority w:val="99"/>
    <w:rsid w:val="00103A7F"/>
    <w:rPr>
      <w:rFonts w:ascii="Times New Roman" w:eastAsia="Times New Roman" w:hAnsi="Times New Roman" w:cs="Times New Roman"/>
    </w:rPr>
  </w:style>
  <w:style w:type="character" w:styleId="PageNumber">
    <w:name w:val="page number"/>
    <w:basedOn w:val="DefaultParagraphFont"/>
    <w:uiPriority w:val="99"/>
    <w:semiHidden/>
    <w:unhideWhenUsed/>
    <w:rsid w:val="00103A7F"/>
  </w:style>
  <w:style w:type="character" w:styleId="Hyperlink">
    <w:name w:val="Hyperlink"/>
    <w:basedOn w:val="DefaultParagraphFont"/>
    <w:uiPriority w:val="99"/>
    <w:unhideWhenUsed/>
    <w:rsid w:val="00103A7F"/>
    <w:rPr>
      <w:color w:val="0563C1" w:themeColor="hyperlink"/>
      <w:u w:val="single"/>
    </w:rPr>
  </w:style>
  <w:style w:type="character" w:styleId="UnresolvedMention">
    <w:name w:val="Unresolved Mention"/>
    <w:basedOn w:val="DefaultParagraphFont"/>
    <w:uiPriority w:val="99"/>
    <w:rsid w:val="00103A7F"/>
    <w:rPr>
      <w:color w:val="605E5C"/>
      <w:shd w:val="clear" w:color="auto" w:fill="E1DFDD"/>
    </w:rPr>
  </w:style>
  <w:style w:type="paragraph" w:styleId="Header">
    <w:name w:val="header"/>
    <w:basedOn w:val="Normal"/>
    <w:link w:val="HeaderChar"/>
    <w:uiPriority w:val="99"/>
    <w:unhideWhenUsed/>
    <w:rsid w:val="00103A7F"/>
    <w:pPr>
      <w:tabs>
        <w:tab w:val="center" w:pos="4680"/>
        <w:tab w:val="right" w:pos="9360"/>
      </w:tabs>
    </w:pPr>
  </w:style>
  <w:style w:type="character" w:customStyle="1" w:styleId="HeaderChar">
    <w:name w:val="Header Char"/>
    <w:basedOn w:val="DefaultParagraphFont"/>
    <w:link w:val="Header"/>
    <w:uiPriority w:val="99"/>
    <w:rsid w:val="00103A7F"/>
    <w:rPr>
      <w:rFonts w:ascii="Times New Roman" w:eastAsia="Times New Roman" w:hAnsi="Times New Roman" w:cs="Times New Roman"/>
    </w:rPr>
  </w:style>
  <w:style w:type="paragraph" w:styleId="Bibliography">
    <w:name w:val="Bibliography"/>
    <w:basedOn w:val="Normal"/>
    <w:next w:val="Normal"/>
    <w:uiPriority w:val="37"/>
    <w:unhideWhenUsed/>
    <w:rsid w:val="00103A7F"/>
    <w:pPr>
      <w:ind w:left="720" w:hanging="720"/>
    </w:pPr>
  </w:style>
  <w:style w:type="table" w:styleId="TableGrid">
    <w:name w:val="Table Grid"/>
    <w:basedOn w:val="TableNormal"/>
    <w:rsid w:val="00103A7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03A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27</Pages>
  <Words>23626</Words>
  <Characters>134671</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11</cp:revision>
  <dcterms:created xsi:type="dcterms:W3CDTF">2023-03-30T13:53:00Z</dcterms:created>
  <dcterms:modified xsi:type="dcterms:W3CDTF">2023-03-30T20:34:00Z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id="BeFAGk64"/&gt;&lt;style id="http://www.zotero.org/styles/north-american-journal-of-fisheries-management" hasBibliography="1" bibliographyStyleHasBeenSet="1"/&gt;&lt;prefs&gt;&lt;pref name="fieldType" value="Field"</vt:lpwstr>
  </property>
  <property fmtid="{D5CDD505-2E9C-101B-9397-08002B2CF9AE}" pid="3" name="ZOTERO_PREF_2">
    <vt:lpwstr>/&gt;&lt;/prefs&gt;&lt;/data&gt;</vt:lpwstr>
  </property>
</Properties>
</file>