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Tracker Description: </w:t>
      </w:r>
      <w:r w:rsidDel="00000000" w:rsidR="00000000" w:rsidRPr="00000000">
        <w:rPr>
          <w:rtl w:val="0"/>
        </w:rPr>
        <w:t xml:space="preserve">The following chart is an unprecedented compilation of all state-wide or national legislation relating to MMIWGT2S in the United States. Included in this tracker are all policies introduced or passed since 2020, and the UIC team has included various columns breaking down each policy according to certain characteristics, outlined below. The policy tracker will be updated a few times each year.</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What does each column in the policy tracker tell me?</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State:</w:t>
      </w:r>
      <w:r w:rsidDel="00000000" w:rsidR="00000000" w:rsidRPr="00000000">
        <w:rPr>
          <w:rtl w:val="0"/>
        </w:rPr>
        <w:t xml:space="preserve"> Within which state was this policy relating to missing and murdered indigenous people introduced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National policies are coded to cover every state</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Name:</w:t>
      </w:r>
      <w:r w:rsidDel="00000000" w:rsidR="00000000" w:rsidRPr="00000000">
        <w:rPr>
          <w:rtl w:val="0"/>
        </w:rPr>
        <w:t xml:space="preserve"> Name of the policy that was introduced in the state in question. </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Chamber</w:t>
      </w:r>
      <w:r w:rsidDel="00000000" w:rsidR="00000000" w:rsidRPr="00000000">
        <w:rPr>
          <w:rtl w:val="0"/>
        </w:rPr>
        <w:t xml:space="preserve">: Where the policy was introduced. </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1 = House policies</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2 = Senate policies</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3 = policies with analogous introductions in House and Senate are coded</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4 = Other announcements such as press releases, explained in </w:t>
      </w:r>
      <w:r w:rsidDel="00000000" w:rsidR="00000000" w:rsidRPr="00000000">
        <w:rPr>
          <w:b w:val="1"/>
          <w:rtl w:val="0"/>
        </w:rPr>
        <w:t xml:space="preserve">Chamber Details</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House Number</w:t>
      </w:r>
      <w:r w:rsidDel="00000000" w:rsidR="00000000" w:rsidRPr="00000000">
        <w:rPr>
          <w:rtl w:val="0"/>
        </w:rPr>
        <w:t xml:space="preserve"> and </w:t>
      </w:r>
      <w:r w:rsidDel="00000000" w:rsidR="00000000" w:rsidRPr="00000000">
        <w:rPr>
          <w:b w:val="1"/>
          <w:rtl w:val="0"/>
        </w:rPr>
        <w:t xml:space="preserve">Senate Number</w:t>
      </w:r>
      <w:r w:rsidDel="00000000" w:rsidR="00000000" w:rsidRPr="00000000">
        <w:rPr>
          <w:rtl w:val="0"/>
        </w:rPr>
        <w:t xml:space="preserve">: The appropriate number code(s) which the policy is filed under.</w:t>
      </w:r>
    </w:p>
    <w:p w:rsidR="00000000" w:rsidDel="00000000" w:rsidP="00000000" w:rsidRDefault="00000000" w:rsidRPr="00000000" w14:paraId="0000000E">
      <w:pPr>
        <w:numPr>
          <w:ilvl w:val="0"/>
          <w:numId w:val="1"/>
        </w:numPr>
        <w:ind w:left="720" w:hanging="36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Link 1</w:t>
      </w:r>
      <w:r w:rsidDel="00000000" w:rsidR="00000000" w:rsidRPr="00000000">
        <w:rPr>
          <w:rtl w:val="0"/>
        </w:rPr>
        <w:t xml:space="preserve">: Link to full text of policy</w:t>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Link 2</w:t>
      </w:r>
      <w:r w:rsidDel="00000000" w:rsidR="00000000" w:rsidRPr="00000000">
        <w:rPr>
          <w:rtl w:val="0"/>
        </w:rPr>
        <w:t xml:space="preserve">: (if applicable) another link detailing policy</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Status:</w:t>
      </w:r>
      <w:r w:rsidDel="00000000" w:rsidR="00000000" w:rsidRPr="00000000">
        <w:rPr>
          <w:rtl w:val="0"/>
        </w:rPr>
        <w:t xml:space="preserve"> Has the policy in question been passed or not?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0 = policies that have failed to pass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1 = Policies that have been passed</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2 = has been introduced but is still pending</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Summary:</w:t>
      </w:r>
      <w:r w:rsidDel="00000000" w:rsidR="00000000" w:rsidRPr="00000000">
        <w:rPr>
          <w:rtl w:val="0"/>
        </w:rPr>
        <w:t xml:space="preserve"> This section contains a brief summary of the proposed policy or legislation. The summary includes aims of the legislation, key dates, and target populations. </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UIC Pros:</w:t>
      </w:r>
      <w:r w:rsidDel="00000000" w:rsidR="00000000" w:rsidRPr="00000000">
        <w:rPr>
          <w:rtl w:val="0"/>
        </w:rPr>
        <w:t xml:space="preserve"> This section contains key aspects of each policy as compiled by the UIC team, and our overall evaluation of its </w:t>
      </w:r>
      <w:r w:rsidDel="00000000" w:rsidR="00000000" w:rsidRPr="00000000">
        <w:rPr>
          <w:b w:val="1"/>
          <w:rtl w:val="0"/>
        </w:rPr>
        <w:t xml:space="preserve">merits</w:t>
      </w:r>
      <w:r w:rsidDel="00000000" w:rsidR="00000000" w:rsidRPr="00000000">
        <w:rPr>
          <w:rtl w:val="0"/>
        </w:rPr>
        <w:t xml:space="preserve">. This section is meant to be a resource to aid understanding of the policies; it is important to note however that our team is made up of people who cannot individually or as a group speak to the viewpoint of the entire Indigenous community on any issue. </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UIC Cons:</w:t>
      </w:r>
      <w:r w:rsidDel="00000000" w:rsidR="00000000" w:rsidRPr="00000000">
        <w:rPr>
          <w:rtl w:val="0"/>
        </w:rPr>
        <w:t xml:space="preserve"> This section contains key aspects of each policy as compiled by the UIC team, and our overall evaluation of its </w:t>
      </w:r>
      <w:r w:rsidDel="00000000" w:rsidR="00000000" w:rsidRPr="00000000">
        <w:rPr>
          <w:b w:val="1"/>
          <w:rtl w:val="0"/>
        </w:rPr>
        <w:t xml:space="preserve">pitfalls</w:t>
      </w:r>
      <w:r w:rsidDel="00000000" w:rsidR="00000000" w:rsidRPr="00000000">
        <w:rPr>
          <w:rtl w:val="0"/>
        </w:rPr>
        <w:t xml:space="preserve">. This section is meant to be a resource to aid understanding of the policies; it is important to note however that our team is made up of people who cannot individually or as a group speak to the viewpoint of the entire Indigenous community on any issue. </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Mechanisms for Evaluation:</w:t>
      </w:r>
      <w:r w:rsidDel="00000000" w:rsidR="00000000" w:rsidRPr="00000000">
        <w:rPr>
          <w:rtl w:val="0"/>
        </w:rPr>
        <w:t xml:space="preserve"> These sections contain information as to whether there are built-in evaluation mechanisms for feedback or reform. For policies or legislation mandating the creation of task forces, this section explains whether there are built-in clauses to enhance accountability, such as requirements to write a report.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1 = no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2 = yes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3 = TBD or TCRP-specific</w:t>
      </w:r>
    </w:p>
    <w:p w:rsidR="00000000" w:rsidDel="00000000" w:rsidP="00000000" w:rsidRDefault="00000000" w:rsidRPr="00000000" w14:paraId="0000001C">
      <w:pPr>
        <w:numPr>
          <w:ilvl w:val="0"/>
          <w:numId w:val="1"/>
        </w:numPr>
        <w:ind w:left="720" w:hanging="360"/>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Gender Inclusive Language:</w:t>
      </w:r>
      <w:r w:rsidDel="00000000" w:rsidR="00000000" w:rsidRPr="00000000">
        <w:rPr>
          <w:rtl w:val="0"/>
        </w:rPr>
        <w:t xml:space="preserve"> These sections contain information as to whether or not there is trans-inclusive and/or two spirit inclusive language, as well as other languages demonstrating awareness of gender diversity.</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1 = no</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2 = yes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3 = TBD or TCRP-specific</w:t>
      </w:r>
    </w:p>
    <w:p w:rsidR="00000000" w:rsidDel="00000000" w:rsidP="00000000" w:rsidRDefault="00000000" w:rsidRPr="00000000" w14:paraId="00000021">
      <w:pPr>
        <w:numPr>
          <w:ilvl w:val="0"/>
          <w:numId w:val="1"/>
        </w:numPr>
        <w:ind w:left="720" w:hanging="36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b w:val="1"/>
          <w:rtl w:val="0"/>
        </w:rPr>
        <w:t xml:space="preserve">Prevention Efforts:</w:t>
      </w:r>
      <w:r w:rsidDel="00000000" w:rsidR="00000000" w:rsidRPr="00000000">
        <w:rPr>
          <w:rtl w:val="0"/>
        </w:rPr>
        <w:t xml:space="preserve"> This section contains information in regard to any prevention efforts that are embedded or mandated within the text of the legislation.  </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1 = no</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2 = yes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3 = TBD or TCRP-specific</w:t>
      </w:r>
    </w:p>
    <w:p w:rsidR="00000000" w:rsidDel="00000000" w:rsidP="00000000" w:rsidRDefault="00000000" w:rsidRPr="00000000" w14:paraId="00000026">
      <w:pPr>
        <w:numPr>
          <w:ilvl w:val="0"/>
          <w:numId w:val="1"/>
        </w:numPr>
        <w:ind w:left="720" w:hanging="36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Level of Survivor/ Relative Input:</w:t>
      </w:r>
      <w:r w:rsidDel="00000000" w:rsidR="00000000" w:rsidRPr="00000000">
        <w:rPr>
          <w:rtl w:val="0"/>
        </w:rPr>
        <w:t xml:space="preserve"> This section ranks the level of survivor and relative input to the proposed policy or legislation. </w:t>
      </w:r>
    </w:p>
    <w:p w:rsidR="00000000" w:rsidDel="00000000" w:rsidP="00000000" w:rsidRDefault="00000000" w:rsidRPr="00000000" w14:paraId="00000028">
      <w:pPr>
        <w:numPr>
          <w:ilvl w:val="0"/>
          <w:numId w:val="1"/>
        </w:numPr>
        <w:ind w:left="720" w:hanging="360"/>
        <w:rPr/>
      </w:pPr>
      <w:r w:rsidDel="00000000" w:rsidR="00000000" w:rsidRPr="00000000">
        <w:rPr>
          <w:b w:val="1"/>
          <w:rtl w:val="0"/>
        </w:rPr>
        <w:t xml:space="preserve">Centering of Indigenous Voices: </w:t>
      </w:r>
      <w:r w:rsidDel="00000000" w:rsidR="00000000" w:rsidRPr="00000000">
        <w:rPr>
          <w:rtl w:val="0"/>
        </w:rPr>
        <w:t xml:space="preserve">This section analyzes whether the legislation solicits or incorporates the feedback of indigenous individuals and communities. This section will detail where exactly in the legislation indigenous voices are prioritized. </w:t>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Sponsors of the Legislation: </w:t>
      </w:r>
      <w:r w:rsidDel="00000000" w:rsidR="00000000" w:rsidRPr="00000000">
        <w:rPr>
          <w:rtl w:val="0"/>
        </w:rPr>
        <w:t xml:space="preserve">This section lists the political or community sponsors of the proposed policy or legislation. </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Indigenous Sponsorship:</w:t>
      </w:r>
      <w:r w:rsidDel="00000000" w:rsidR="00000000" w:rsidRPr="00000000">
        <w:rPr>
          <w:rtl w:val="0"/>
        </w:rPr>
        <w:t xml:space="preserve"> This section lists the sponsoring members or entities of the legislation or policy that are indigenous through either federal or self identification. </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Last Update: </w:t>
      </w:r>
      <w:r w:rsidDel="00000000" w:rsidR="00000000" w:rsidRPr="00000000">
        <w:rPr>
          <w:rtl w:val="0"/>
        </w:rPr>
        <w:t xml:space="preserve">This section contains the date on which information pertaining to this policy was most recently updated.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b w:val="1"/>
      </w:rPr>
    </w:pPr>
    <w:r w:rsidDel="00000000" w:rsidR="00000000" w:rsidRPr="00000000">
      <w:rPr>
        <w:b w:val="1"/>
        <w:rtl w:val="0"/>
      </w:rPr>
      <w:t xml:space="preserve">UIC Policy Tracker Column Descriptions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