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diagrama_01.svg" ContentType="image/svg+xml"/>
  <Override PartName="/word/media/diagrama_02.svg" ContentType="image/svg+xml"/>
  <Override PartName="/word/media/diagrama_03.svg" ContentType="image/svg+xml"/>
  <Override PartName="/word/media/diagrama_04.svg" ContentType="image/svg+xml"/>
  <Override PartName="/word/media/diagrama_05.svg" ContentType="image/svg+xml"/>
  <Override PartName="/word/media/diagrama_0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74720" cy="777853"/>
            <wp:docPr id="1" name="Picture 1"/>
            <wp:cNvGraphicFramePr>
              <a:graphicFrameLocks noChangeAspect="1"/>
            </wp:cNvGraphicFramePr>
            <a:graphic>
              <a:graphicData uri="http://schemas.openxmlformats.org/drawingml/2006/picture">
                <pic:pic>
                  <pic:nvPicPr>
                    <pic:cNvPr id="0" name="logo_aprueba.png"/>
                    <pic:cNvPicPr/>
                  </pic:nvPicPr>
                  <pic:blipFill>
                    <a:blip r:embed="rId11"/>
                    <a:stretch>
                      <a:fillRect/>
                    </a:stretch>
                  </pic:blipFill>
                  <pic:spPr>
                    <a:xfrm>
                      <a:off x="0" y="0"/>
                      <a:ext cx="3474720" cy="777853"/>
                    </a:xfrm>
                    <a:prstGeom prst="rect"/>
                  </pic:spPr>
                </pic:pic>
              </a:graphicData>
            </a:graphic>
          </wp:inline>
        </w:drawing>
      </w:r>
    </w:p>
    <w:p>
      <w:pPr>
        <w:pStyle w:val="Title"/>
        <w:jc w:val="center"/>
      </w:pPr>
      <w:r>
        <w:t>Dossier de ingeniería de software</w:t>
      </w:r>
    </w:p>
    <w:p>
      <w:pPr>
        <w:jc w:val="center"/>
      </w:pPr>
      <w:r>
        <w:rPr>
          <w:rFonts w:ascii="Arial" w:hAnsi="Arial"/>
          <w:b w:val="0"/>
          <w:i w:val="0"/>
          <w:color w:val="2F75B5"/>
          <w:sz w:val="26"/>
        </w:rPr>
        <w:t>Requisitos y arquitectura del backend administrativo</w:t>
      </w:r>
    </w:p>
    <w:p>
      <w:pPr>
        <w:jc w:val="center"/>
      </w:pPr>
      <w:r>
        <w:rPr>
          <w:rFonts w:ascii="Arial" w:hAnsi="Arial"/>
          <w:b/>
          <w:i w:val="0"/>
          <w:color w:val="17365D"/>
          <w:sz w:val="20"/>
        </w:rPr>
        <w:t>PLANIFICACIÓN DE FASE 1</w:t>
      </w:r>
    </w:p>
    <w:tbl>
      <w:tblPr>
        <w:tblStyle w:val="TableGrid"/>
        <w:tblW w:type="auto" w:w="0"/>
        <w:jc w:val="center"/>
        <w:tblLook w:firstColumn="1" w:firstRow="1" w:lastColumn="0" w:lastRow="0" w:noHBand="0" w:noVBand="1" w:val="04A0"/>
      </w:tblPr>
      <w:tblGrid>
        <w:gridCol w:w="4929"/>
        <w:gridCol w:w="4929"/>
      </w:tblGrid>
      <w:tr>
        <w:tc>
          <w:tcPr>
            <w:tcW w:type="dxa" w:w="4929"/>
            <w:shd w:fill="17365D"/>
            <w:tcMar>
              <w:top w:w="90" w:type="dxa"/>
              <w:start w:w="100" w:type="dxa"/>
              <w:bottom w:w="90" w:type="dxa"/>
              <w:end w:w="100" w:type="dxa"/>
            </w:tcMar>
            <w:vAlign w:val="center"/>
          </w:tcPr>
          <w:p>
            <w:r>
              <w:rPr>
                <w:rFonts w:ascii="Arial" w:hAnsi="Arial"/>
                <w:b/>
                <w:i w:val="0"/>
                <w:color w:val="FFFFFF"/>
                <w:sz w:val="18"/>
              </w:rPr>
              <w:t>Proyecto</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Aprueba Administración Backend</w:t>
            </w:r>
          </w:p>
        </w:tc>
      </w:tr>
      <w:tr>
        <w:tc>
          <w:tcPr>
            <w:tcW w:type="dxa" w:w="4929"/>
            <w:shd w:fill="17365D"/>
            <w:tcMar>
              <w:top w:w="90" w:type="dxa"/>
              <w:start w:w="100" w:type="dxa"/>
              <w:bottom w:w="90" w:type="dxa"/>
              <w:end w:w="100" w:type="dxa"/>
            </w:tcMar>
            <w:vAlign w:val="center"/>
          </w:tcPr>
          <w:p>
            <w:r>
              <w:rPr>
                <w:rFonts w:ascii="Arial" w:hAnsi="Arial"/>
                <w:b/>
                <w:i w:val="0"/>
                <w:color w:val="FFFFFF"/>
                <w:sz w:val="18"/>
              </w:rPr>
              <w:t>Equipo</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Tsung-Hao Liu · Catalina Yanara Padilla Astudillo · Felipe Antonio Rojas Riffo</w:t>
            </w:r>
          </w:p>
        </w:tc>
      </w:tr>
      <w:tr>
        <w:tc>
          <w:tcPr>
            <w:tcW w:type="dxa" w:w="4929"/>
            <w:shd w:fill="17365D"/>
            <w:tcMar>
              <w:top w:w="90" w:type="dxa"/>
              <w:start w:w="100" w:type="dxa"/>
              <w:bottom w:w="90" w:type="dxa"/>
              <w:end w:w="100" w:type="dxa"/>
            </w:tcMar>
            <w:vAlign w:val="center"/>
          </w:tcPr>
          <w:p>
            <w:r>
              <w:rPr>
                <w:rFonts w:ascii="Arial" w:hAnsi="Arial"/>
                <w:b/>
                <w:i w:val="0"/>
                <w:color w:val="FFFFFF"/>
                <w:sz w:val="18"/>
              </w:rPr>
              <w:t>Alcance</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27 endpoints /admin de la sección 4 del contrato API</w:t>
            </w:r>
          </w:p>
        </w:tc>
      </w:tr>
      <w:tr>
        <w:tc>
          <w:tcPr>
            <w:tcW w:type="dxa" w:w="4929"/>
            <w:shd w:fill="17365D"/>
            <w:tcMar>
              <w:top w:w="90" w:type="dxa"/>
              <w:start w:w="100" w:type="dxa"/>
              <w:bottom w:w="90" w:type="dxa"/>
              <w:end w:w="100" w:type="dxa"/>
            </w:tcMar>
            <w:vAlign w:val="center"/>
          </w:tcPr>
          <w:p>
            <w:r>
              <w:rPr>
                <w:rFonts w:ascii="Arial" w:hAnsi="Arial"/>
                <w:b/>
                <w:i w:val="0"/>
                <w:color w:val="FFFFFF"/>
                <w:sz w:val="18"/>
              </w:rPr>
              <w:t>Fecha</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4 de septiembre de 2026</w:t>
            </w:r>
          </w:p>
        </w:tc>
      </w:tr>
    </w:tbl>
    <w:p/>
    <w:p>
      <w:pPr>
        <w:jc w:val="center"/>
      </w:pPr>
      <w:r>
        <w:rPr>
          <w:rFonts w:ascii="Arial" w:hAnsi="Arial"/>
          <w:b w:val="0"/>
          <w:i/>
          <w:color w:val="5B6573"/>
          <w:sz w:val="18"/>
        </w:rPr>
        <w:t>Este documento distingue requisitos confirmados, diseño propuesto, trabajo planificado y pendientes externos.</w:t>
      </w:r>
    </w:p>
    <w:p>
      <w:r>
        <w:br w:type="page"/>
      </w:r>
    </w:p>
    <w:p>
      <w:pPr>
        <w:pStyle w:val="Heading1"/>
      </w:pPr>
      <w:r>
        <w:t>1. Base funcional</w:t>
      </w:r>
    </w:p>
    <w:p>
      <w:pPr>
        <w:jc w:val="both"/>
      </w:pPr>
      <w:r>
        <w:rPr>
          <w:rFonts w:ascii="Arial" w:hAnsi="Arial"/>
          <w:b w:val="0"/>
          <w:i w:val="0"/>
          <w:color w:val="17212B"/>
          <w:sz w:val="21"/>
        </w:rPr>
        <w:t>La fuente de verdad funcional es Aprueba_API_Backend.docx, versión 1.0. Para este equipo se utiliza exclusivamente la sección 4, Consola de administración, y las convenciones generales necesarias para implementar respuestas, errores, autenticación, autorización, paginación y validación.</w:t>
      </w:r>
    </w:p>
    <w:tbl>
      <w:tblPr>
        <w:tblStyle w:val="TableGrid"/>
        <w:tblW w:type="auto" w:w="0"/>
        <w:jc w:val="center"/>
        <w:tblLook w:firstColumn="1" w:firstRow="1" w:lastColumn="0" w:lastRow="0" w:noHBand="0" w:noVBand="1" w:val="04A0"/>
      </w:tblPr>
      <w:tblGrid>
        <w:gridCol w:w="2268"/>
        <w:gridCol w:w="6803"/>
      </w:tblGrid>
      <w:tr>
        <w:tc>
          <w:tcPr>
            <w:tcW w:type="dxa" w:w="4929"/>
            <w:shd w:fill="17365D"/>
            <w:tcMar>
              <w:top w:w="90" w:type="dxa"/>
              <w:start w:w="100" w:type="dxa"/>
              <w:bottom w:w="90" w:type="dxa"/>
              <w:end w:w="100" w:type="dxa"/>
            </w:tcMar>
          </w:tcPr>
          <w:p>
            <w:r>
              <w:rPr>
                <w:rFonts w:ascii="Arial" w:hAnsi="Arial"/>
                <w:b/>
                <w:i w:val="0"/>
                <w:color w:val="FFFFFF"/>
                <w:sz w:val="18"/>
              </w:rPr>
              <w:t>DEFINIDO POR CONTRATO</w:t>
            </w:r>
          </w:p>
        </w:tc>
        <w:tc>
          <w:tcPr>
            <w:tcW w:type="dxa" w:w="4929"/>
            <w:shd w:fill="E2F0D9"/>
            <w:tcMar>
              <w:top w:w="90" w:type="dxa"/>
              <w:start w:w="100" w:type="dxa"/>
              <w:bottom w:w="90" w:type="dxa"/>
              <w:end w:w="100" w:type="dxa"/>
            </w:tcMar>
          </w:tcPr>
          <w:p>
            <w:r>
              <w:rPr>
                <w:rFonts w:ascii="Arial" w:hAnsi="Arial"/>
                <w:b w:val="0"/>
                <w:i w:val="0"/>
                <w:color w:val="17212B"/>
                <w:sz w:val="18"/>
              </w:rPr>
              <w:t>27 endpoints /admin distribuidos entre autenticación, métricas, patrocinadores, operación, usuarios, soporte, correcciones, preguntas, funcionalidades y planes.</w:t>
            </w:r>
          </w:p>
        </w:tc>
      </w:tr>
    </w:tbl>
    <w:p/>
    <w:tbl>
      <w:tblPr>
        <w:tblStyle w:val="TableGrid"/>
        <w:tblW w:type="auto" w:w="0"/>
        <w:jc w:val="center"/>
        <w:tblLook w:firstColumn="1" w:firstRow="1" w:lastColumn="0" w:lastRow="0" w:noHBand="0" w:noVBand="1" w:val="04A0"/>
      </w:tblPr>
      <w:tblGrid>
        <w:gridCol w:w="2268"/>
        <w:gridCol w:w="6803"/>
      </w:tblGrid>
      <w:tr>
        <w:tc>
          <w:tcPr>
            <w:tcW w:type="dxa" w:w="4929"/>
            <w:shd w:fill="17365D"/>
            <w:tcMar>
              <w:top w:w="90" w:type="dxa"/>
              <w:start w:w="100" w:type="dxa"/>
              <w:bottom w:w="90" w:type="dxa"/>
              <w:end w:w="100" w:type="dxa"/>
            </w:tcMar>
          </w:tcPr>
          <w:p>
            <w:r>
              <w:rPr>
                <w:rFonts w:ascii="Arial" w:hAnsi="Arial"/>
                <w:b/>
                <w:i w:val="0"/>
                <w:color w:val="FFFFFF"/>
                <w:sz w:val="18"/>
              </w:rPr>
              <w:t>FUERA DE ALCANCE</w:t>
            </w:r>
          </w:p>
        </w:tc>
        <w:tc>
          <w:tcPr>
            <w:tcW w:type="dxa" w:w="4929"/>
            <w:shd w:fill="F2F2F2"/>
            <w:tcMar>
              <w:top w:w="90" w:type="dxa"/>
              <w:start w:w="100" w:type="dxa"/>
              <w:bottom w:w="90" w:type="dxa"/>
              <w:end w:w="100" w:type="dxa"/>
            </w:tcMar>
          </w:tcPr>
          <w:p>
            <w:r>
              <w:rPr>
                <w:rFonts w:ascii="Arial" w:hAnsi="Arial"/>
                <w:b w:val="0"/>
                <w:i w:val="0"/>
                <w:color w:val="17212B"/>
                <w:sz w:val="18"/>
              </w:rPr>
              <w:t>Aplicación del alumno, sitio web del alumno, generador y frontend completo, salvo datos estrictamente necesarios para las operaciones administrativas.</w:t>
            </w:r>
          </w:p>
        </w:tc>
      </w:tr>
    </w:tbl>
    <w:p/>
    <w:p>
      <w:pPr>
        <w:pStyle w:val="Heading1"/>
      </w:pPr>
      <w:r>
        <w:t>2. Catálogo funcional</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381"/>
            <w:shd w:fill="17365D"/>
            <w:vAlign w:val="center"/>
          </w:tcPr>
          <w:p>
            <w:r>
              <w:rPr>
                <w:rFonts w:ascii="Arial" w:hAnsi="Arial"/>
                <w:b/>
                <w:i w:val="0"/>
                <w:color w:val="FFFFFF"/>
                <w:sz w:val="17"/>
              </w:rPr>
              <w:t>Módulo</w:t>
            </w:r>
          </w:p>
        </w:tc>
        <w:tc>
          <w:tcPr>
            <w:tcW w:type="dxa" w:w="1247"/>
            <w:shd w:fill="17365D"/>
            <w:vAlign w:val="center"/>
          </w:tcPr>
          <w:p>
            <w:r>
              <w:rPr>
                <w:rFonts w:ascii="Arial" w:hAnsi="Arial"/>
                <w:b/>
                <w:i w:val="0"/>
                <w:color w:val="FFFFFF"/>
                <w:sz w:val="17"/>
              </w:rPr>
              <w:t>Endpoints</w:t>
            </w:r>
          </w:p>
        </w:tc>
        <w:tc>
          <w:tcPr>
            <w:tcW w:type="dxa" w:w="6009"/>
            <w:shd w:fill="17365D"/>
            <w:vAlign w:val="center"/>
          </w:tcPr>
          <w:p>
            <w:r>
              <w:rPr>
                <w:rFonts w:ascii="Arial" w:hAnsi="Arial"/>
                <w:b/>
                <w:i w:val="0"/>
                <w:color w:val="FFFFFF"/>
                <w:sz w:val="17"/>
              </w:rPr>
              <w:t>Capacidad</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Autenticación</w:t>
            </w:r>
          </w:p>
        </w:tc>
        <w:tc>
          <w:tcPr>
            <w:tcW w:type="dxa" w:w="1247"/>
            <w:tcMar>
              <w:top w:w="70" w:type="dxa"/>
              <w:start w:w="100" w:type="dxa"/>
              <w:bottom w:w="70" w:type="dxa"/>
              <w:end w:w="100" w:type="dxa"/>
            </w:tcMar>
            <w:vAlign w:val="center"/>
          </w:tcPr>
          <w:p>
            <w:r>
              <w:rPr>
                <w:rFonts w:ascii="Arial" w:hAnsi="Arial"/>
                <w:b w:val="0"/>
                <w:i w:val="0"/>
                <w:color w:val="17212B"/>
                <w:sz w:val="17"/>
              </w:rPr>
              <w:t>1</w:t>
            </w:r>
          </w:p>
        </w:tc>
        <w:tc>
          <w:tcPr>
            <w:tcW w:type="dxa" w:w="6009"/>
            <w:tcMar>
              <w:top w:w="70" w:type="dxa"/>
              <w:start w:w="100" w:type="dxa"/>
              <w:bottom w:w="70" w:type="dxa"/>
              <w:end w:w="100" w:type="dxa"/>
            </w:tcMar>
            <w:vAlign w:val="center"/>
          </w:tcPr>
          <w:p>
            <w:r>
              <w:rPr>
                <w:rFonts w:ascii="Arial" w:hAnsi="Arial"/>
                <w:b w:val="0"/>
                <w:i w:val="0"/>
                <w:color w:val="17212B"/>
                <w:sz w:val="17"/>
              </w:rPr>
              <w:t>Inicio de sesión administrativo.</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Métricas</w:t>
            </w:r>
          </w:p>
        </w:tc>
        <w:tc>
          <w:tcPr>
            <w:tcW w:type="dxa" w:w="1247"/>
            <w:shd w:fill="EDF4FA"/>
            <w:tcMar>
              <w:top w:w="70" w:type="dxa"/>
              <w:start w:w="100" w:type="dxa"/>
              <w:bottom w:w="70" w:type="dxa"/>
              <w:end w:w="100" w:type="dxa"/>
            </w:tcMar>
            <w:vAlign w:val="center"/>
          </w:tcPr>
          <w:p>
            <w:r>
              <w:rPr>
                <w:rFonts w:ascii="Arial" w:hAnsi="Arial"/>
                <w:b w:val="0"/>
                <w:i w:val="0"/>
                <w:color w:val="17212B"/>
                <w:sz w:val="17"/>
              </w:rPr>
              <w:t>2</w:t>
            </w:r>
          </w:p>
        </w:tc>
        <w:tc>
          <w:tcPr>
            <w:tcW w:type="dxa" w:w="6009"/>
            <w:shd w:fill="EDF4FA"/>
            <w:tcMar>
              <w:top w:w="70" w:type="dxa"/>
              <w:start w:w="100" w:type="dxa"/>
              <w:bottom w:w="70" w:type="dxa"/>
              <w:end w:w="100" w:type="dxa"/>
            </w:tcMar>
            <w:vAlign w:val="center"/>
          </w:tcPr>
          <w:p>
            <w:r>
              <w:rPr>
                <w:rFonts w:ascii="Arial" w:hAnsi="Arial"/>
                <w:b w:val="0"/>
                <w:i w:val="0"/>
                <w:color w:val="17212B"/>
                <w:sz w:val="17"/>
              </w:rPr>
              <w:t>Resumen general y comercial.</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Patrocinadores</w:t>
            </w:r>
          </w:p>
        </w:tc>
        <w:tc>
          <w:tcPr>
            <w:tcW w:type="dxa" w:w="1247"/>
            <w:tcMar>
              <w:top w:w="70" w:type="dxa"/>
              <w:start w:w="100" w:type="dxa"/>
              <w:bottom w:w="70" w:type="dxa"/>
              <w:end w:w="100" w:type="dxa"/>
            </w:tcMar>
            <w:vAlign w:val="center"/>
          </w:tcPr>
          <w:p>
            <w:r>
              <w:rPr>
                <w:rFonts w:ascii="Arial" w:hAnsi="Arial"/>
                <w:b w:val="0"/>
                <w:i w:val="0"/>
                <w:color w:val="17212B"/>
                <w:sz w:val="17"/>
              </w:rPr>
              <w:t>4</w:t>
            </w:r>
          </w:p>
        </w:tc>
        <w:tc>
          <w:tcPr>
            <w:tcW w:type="dxa" w:w="6009"/>
            <w:tcMar>
              <w:top w:w="70" w:type="dxa"/>
              <w:start w:w="100" w:type="dxa"/>
              <w:bottom w:w="70" w:type="dxa"/>
              <w:end w:w="100" w:type="dxa"/>
            </w:tcMar>
            <w:vAlign w:val="center"/>
          </w:tcPr>
          <w:p>
            <w:r>
              <w:rPr>
                <w:rFonts w:ascii="Arial" w:hAnsi="Arial"/>
                <w:b w:val="0"/>
                <w:i w:val="0"/>
                <w:color w:val="17212B"/>
                <w:sz w:val="17"/>
              </w:rPr>
              <w:t>Listar, crear, actualizar y eliminar.</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Operación</w:t>
            </w:r>
          </w:p>
        </w:tc>
        <w:tc>
          <w:tcPr>
            <w:tcW w:type="dxa" w:w="1247"/>
            <w:shd w:fill="EDF4FA"/>
            <w:tcMar>
              <w:top w:w="70" w:type="dxa"/>
              <w:start w:w="100" w:type="dxa"/>
              <w:bottom w:w="70" w:type="dxa"/>
              <w:end w:w="100" w:type="dxa"/>
            </w:tcMar>
            <w:vAlign w:val="center"/>
          </w:tcPr>
          <w:p>
            <w:r>
              <w:rPr>
                <w:rFonts w:ascii="Arial" w:hAnsi="Arial"/>
                <w:b w:val="0"/>
                <w:i w:val="0"/>
                <w:color w:val="17212B"/>
                <w:sz w:val="17"/>
              </w:rPr>
              <w:t>4</w:t>
            </w:r>
          </w:p>
        </w:tc>
        <w:tc>
          <w:tcPr>
            <w:tcW w:type="dxa" w:w="6009"/>
            <w:shd w:fill="EDF4FA"/>
            <w:tcMar>
              <w:top w:w="70" w:type="dxa"/>
              <w:start w:w="100" w:type="dxa"/>
              <w:bottom w:w="70" w:type="dxa"/>
              <w:end w:w="100" w:type="dxa"/>
            </w:tcMar>
            <w:vAlign w:val="center"/>
          </w:tcPr>
          <w:p>
            <w:r>
              <w:rPr>
                <w:rFonts w:ascii="Arial" w:hAnsi="Arial"/>
                <w:b w:val="0"/>
                <w:i w:val="0"/>
                <w:color w:val="17212B"/>
                <w:sz w:val="17"/>
              </w:rPr>
              <w:t>Plataformas, servicios, contenedores y reinicio.</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Usuarios</w:t>
            </w:r>
          </w:p>
        </w:tc>
        <w:tc>
          <w:tcPr>
            <w:tcW w:type="dxa" w:w="1247"/>
            <w:tcMar>
              <w:top w:w="70" w:type="dxa"/>
              <w:start w:w="100" w:type="dxa"/>
              <w:bottom w:w="70" w:type="dxa"/>
              <w:end w:w="100" w:type="dxa"/>
            </w:tcMar>
            <w:vAlign w:val="center"/>
          </w:tcPr>
          <w:p>
            <w:r>
              <w:rPr>
                <w:rFonts w:ascii="Arial" w:hAnsi="Arial"/>
                <w:b w:val="0"/>
                <w:i w:val="0"/>
                <w:color w:val="17212B"/>
                <w:sz w:val="17"/>
              </w:rPr>
              <w:t>3</w:t>
            </w:r>
          </w:p>
        </w:tc>
        <w:tc>
          <w:tcPr>
            <w:tcW w:type="dxa" w:w="6009"/>
            <w:tcMar>
              <w:top w:w="70" w:type="dxa"/>
              <w:start w:w="100" w:type="dxa"/>
              <w:bottom w:w="70" w:type="dxa"/>
              <w:end w:w="100" w:type="dxa"/>
            </w:tcMar>
            <w:vAlign w:val="center"/>
          </w:tcPr>
          <w:p>
            <w:r>
              <w:rPr>
                <w:rFonts w:ascii="Arial" w:hAnsi="Arial"/>
                <w:b w:val="0"/>
                <w:i w:val="0"/>
                <w:color w:val="17212B"/>
                <w:sz w:val="17"/>
              </w:rPr>
              <w:t>Listar, consultar y actualizar.</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Soporte y correcciones</w:t>
            </w:r>
          </w:p>
        </w:tc>
        <w:tc>
          <w:tcPr>
            <w:tcW w:type="dxa" w:w="1247"/>
            <w:shd w:fill="EDF4FA"/>
            <w:tcMar>
              <w:top w:w="70" w:type="dxa"/>
              <w:start w:w="100" w:type="dxa"/>
              <w:bottom w:w="70" w:type="dxa"/>
              <w:end w:w="100" w:type="dxa"/>
            </w:tcMar>
            <w:vAlign w:val="center"/>
          </w:tcPr>
          <w:p>
            <w:r>
              <w:rPr>
                <w:rFonts w:ascii="Arial" w:hAnsi="Arial"/>
                <w:b w:val="0"/>
                <w:i w:val="0"/>
                <w:color w:val="17212B"/>
                <w:sz w:val="17"/>
              </w:rPr>
              <w:t>4</w:t>
            </w:r>
          </w:p>
        </w:tc>
        <w:tc>
          <w:tcPr>
            <w:tcW w:type="dxa" w:w="6009"/>
            <w:shd w:fill="EDF4FA"/>
            <w:tcMar>
              <w:top w:w="70" w:type="dxa"/>
              <w:start w:w="100" w:type="dxa"/>
              <w:bottom w:w="70" w:type="dxa"/>
              <w:end w:w="100" w:type="dxa"/>
            </w:tcMar>
            <w:vAlign w:val="center"/>
          </w:tcPr>
          <w:p>
            <w:r>
              <w:rPr>
                <w:rFonts w:ascii="Arial" w:hAnsi="Arial"/>
                <w:b w:val="0"/>
                <w:i w:val="0"/>
                <w:color w:val="17212B"/>
                <w:sz w:val="17"/>
              </w:rPr>
              <w:t>Listar y resolver tickets y solicitudes.</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Preguntas</w:t>
            </w:r>
          </w:p>
        </w:tc>
        <w:tc>
          <w:tcPr>
            <w:tcW w:type="dxa" w:w="1247"/>
            <w:tcMar>
              <w:top w:w="70" w:type="dxa"/>
              <w:start w:w="100" w:type="dxa"/>
              <w:bottom w:w="70" w:type="dxa"/>
              <w:end w:w="100" w:type="dxa"/>
            </w:tcMar>
            <w:vAlign w:val="center"/>
          </w:tcPr>
          <w:p>
            <w:r>
              <w:rPr>
                <w:rFonts w:ascii="Arial" w:hAnsi="Arial"/>
                <w:b w:val="0"/>
                <w:i w:val="0"/>
                <w:color w:val="17212B"/>
                <w:sz w:val="17"/>
              </w:rPr>
              <w:t>4</w:t>
            </w:r>
          </w:p>
        </w:tc>
        <w:tc>
          <w:tcPr>
            <w:tcW w:type="dxa" w:w="6009"/>
            <w:tcMar>
              <w:top w:w="70" w:type="dxa"/>
              <w:start w:w="100" w:type="dxa"/>
              <w:bottom w:w="70" w:type="dxa"/>
              <w:end w:w="100" w:type="dxa"/>
            </w:tcMar>
            <w:vAlign w:val="center"/>
          </w:tcPr>
          <w:p>
            <w:r>
              <w:rPr>
                <w:rFonts w:ascii="Arial" w:hAnsi="Arial"/>
                <w:b w:val="0"/>
                <w:i w:val="0"/>
                <w:color w:val="17212B"/>
                <w:sz w:val="17"/>
              </w:rPr>
              <w:t>Listar, crear, actualizar e importar.</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Funcionalidades</w:t>
            </w:r>
          </w:p>
        </w:tc>
        <w:tc>
          <w:tcPr>
            <w:tcW w:type="dxa" w:w="1247"/>
            <w:shd w:fill="EDF4FA"/>
            <w:tcMar>
              <w:top w:w="70" w:type="dxa"/>
              <w:start w:w="100" w:type="dxa"/>
              <w:bottom w:w="70" w:type="dxa"/>
              <w:end w:w="100" w:type="dxa"/>
            </w:tcMar>
            <w:vAlign w:val="center"/>
          </w:tcPr>
          <w:p>
            <w:r>
              <w:rPr>
                <w:rFonts w:ascii="Arial" w:hAnsi="Arial"/>
                <w:b w:val="0"/>
                <w:i w:val="0"/>
                <w:color w:val="17212B"/>
                <w:sz w:val="17"/>
              </w:rPr>
              <w:t>1</w:t>
            </w:r>
          </w:p>
        </w:tc>
        <w:tc>
          <w:tcPr>
            <w:tcW w:type="dxa" w:w="6009"/>
            <w:shd w:fill="EDF4FA"/>
            <w:tcMar>
              <w:top w:w="70" w:type="dxa"/>
              <w:start w:w="100" w:type="dxa"/>
              <w:bottom w:w="70" w:type="dxa"/>
              <w:end w:w="100" w:type="dxa"/>
            </w:tcMar>
            <w:vAlign w:val="center"/>
          </w:tcPr>
          <w:p>
            <w:r>
              <w:rPr>
                <w:rFonts w:ascii="Arial" w:hAnsi="Arial"/>
                <w:b w:val="0"/>
                <w:i w:val="0"/>
                <w:color w:val="17212B"/>
                <w:sz w:val="17"/>
              </w:rPr>
              <w:t>Consultar catálogo configurable.</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Planes</w:t>
            </w:r>
          </w:p>
        </w:tc>
        <w:tc>
          <w:tcPr>
            <w:tcW w:type="dxa" w:w="1247"/>
            <w:tcMar>
              <w:top w:w="70" w:type="dxa"/>
              <w:start w:w="100" w:type="dxa"/>
              <w:bottom w:w="70" w:type="dxa"/>
              <w:end w:w="100" w:type="dxa"/>
            </w:tcMar>
            <w:vAlign w:val="center"/>
          </w:tcPr>
          <w:p>
            <w:r>
              <w:rPr>
                <w:rFonts w:ascii="Arial" w:hAnsi="Arial"/>
                <w:b w:val="0"/>
                <w:i w:val="0"/>
                <w:color w:val="17212B"/>
                <w:sz w:val="17"/>
              </w:rPr>
              <w:t>4</w:t>
            </w:r>
          </w:p>
        </w:tc>
        <w:tc>
          <w:tcPr>
            <w:tcW w:type="dxa" w:w="6009"/>
            <w:tcMar>
              <w:top w:w="70" w:type="dxa"/>
              <w:start w:w="100" w:type="dxa"/>
              <w:bottom w:w="70" w:type="dxa"/>
              <w:end w:w="100" w:type="dxa"/>
            </w:tcMar>
            <w:vAlign w:val="center"/>
          </w:tcPr>
          <w:p>
            <w:r>
              <w:rPr>
                <w:rFonts w:ascii="Arial" w:hAnsi="Arial"/>
                <w:b w:val="0"/>
                <w:i w:val="0"/>
                <w:color w:val="17212B"/>
                <w:sz w:val="17"/>
              </w:rPr>
              <w:t>Listar, crear, actualizar y eliminar.</w:t>
            </w:r>
          </w:p>
        </w:tc>
      </w:tr>
    </w:tbl>
    <w:p/>
    <w:p>
      <w:pPr>
        <w:jc w:val="both"/>
      </w:pPr>
      <w:r>
        <w:rPr>
          <w:rFonts w:ascii="Arial" w:hAnsi="Arial"/>
          <w:b w:val="0"/>
          <w:i w:val="0"/>
          <w:color w:val="17212B"/>
          <w:sz w:val="21"/>
        </w:rPr>
        <w:t>El detalle de método, ruta, rol, requisito, historia, sprint, caso de prueba y evidencia se mantiene en 03_Requisitos_Historias_y_Trazabilidad.xlsx. La matriz contiene exactamente 27 filas API-001 a API-027.</w:t>
      </w:r>
    </w:p>
    <w:p>
      <w:pPr>
        <w:pStyle w:val="Heading1"/>
      </w:pPr>
      <w:r>
        <w:t>3. Principios de arquitectura</w:t>
      </w:r>
    </w:p>
    <w:p>
      <w:pPr>
        <w:pStyle w:val="ListBullet"/>
      </w:pPr>
      <w:r>
        <w:rPr>
          <w:rFonts w:ascii="Arial" w:hAnsi="Arial"/>
          <w:b w:val="0"/>
          <w:i w:val="0"/>
          <w:color w:val="17212B"/>
          <w:sz w:val="21"/>
        </w:rPr>
        <w:t>Diseño orientado al contrato: la interfaz pública se deriva de la sección 4 de la especificación. Se utilizará el código entregado, conservando JavaScript, Node.js y Express; su ejecución y cobertura aún no se han verificado.</w:t>
      </w:r>
    </w:p>
    <w:p>
      <w:pPr>
        <w:pStyle w:val="ListBullet"/>
      </w:pPr>
      <w:r>
        <w:rPr>
          <w:rFonts w:ascii="Arial" w:hAnsi="Arial"/>
          <w:b w:val="0"/>
          <w:i w:val="0"/>
          <w:color w:val="17212B"/>
          <w:sz w:val="21"/>
        </w:rPr>
        <w:t>Separación de responsabilidades entre transporte HTTP, identidad, aplicación, dominio, persistencia e integraciones.</w:t>
      </w:r>
    </w:p>
    <w:p>
      <w:pPr>
        <w:pStyle w:val="ListBullet"/>
      </w:pPr>
      <w:r>
        <w:rPr>
          <w:rFonts w:ascii="Arial" w:hAnsi="Arial"/>
          <w:b w:val="0"/>
          <w:i w:val="0"/>
          <w:color w:val="17212B"/>
          <w:sz w:val="21"/>
        </w:rPr>
        <w:t>Dependencias externas aisladas mediante interfaces y adaptadores.</w:t>
      </w:r>
    </w:p>
    <w:p>
      <w:pPr>
        <w:pStyle w:val="ListBullet"/>
      </w:pPr>
      <w:r>
        <w:rPr>
          <w:rFonts w:ascii="Arial" w:hAnsi="Arial"/>
          <w:b w:val="0"/>
          <w:i w:val="0"/>
          <w:color w:val="17212B"/>
          <w:sz w:val="21"/>
        </w:rPr>
        <w:t>Configuración y secretos fuera del código y de la documentación académica.</w:t>
      </w:r>
    </w:p>
    <w:p>
      <w:pPr>
        <w:pStyle w:val="ListBullet"/>
      </w:pPr>
      <w:r>
        <w:rPr>
          <w:rFonts w:ascii="Arial" w:hAnsi="Arial"/>
          <w:b w:val="0"/>
          <w:i w:val="0"/>
          <w:color w:val="17212B"/>
          <w:sz w:val="21"/>
        </w:rPr>
        <w:t>Trazabilidad entre requisito, historia, endpoint, prueba, sprint y evidencia.</w:t>
      </w:r>
    </w:p>
    <w:p>
      <w:pPr>
        <w:pStyle w:val="ListBullet"/>
      </w:pPr>
      <w:r>
        <w:rPr>
          <w:rFonts w:ascii="Arial" w:hAnsi="Arial"/>
          <w:b w:val="0"/>
          <w:i w:val="0"/>
          <w:color w:val="17212B"/>
          <w:sz w:val="21"/>
        </w:rPr>
        <w:t>Observabilidad y auditoría como capacidades planificadas desde el diseño.</w:t>
      </w:r>
    </w:p>
    <w:p>
      <w:pPr>
        <w:keepNext/>
        <w:spacing w:line="240" w:lineRule="auto" w:before="80" w:after="80"/>
        <w:jc w:val="center"/>
      </w:pPr>
      <w:r>
        <w:drawing>
          <wp:inline xmlns:a="http://schemas.openxmlformats.org/drawingml/2006/main" xmlns:pic="http://schemas.openxmlformats.org/drawingml/2006/picture">
            <wp:extent cx="6217920" cy="4041648"/>
            <wp:docPr id="7" name="01_Contexto_Aprueba_Administracion.svg" descr="01_Contexto_Aprueba_Administracion. Diseño propuesto de Fase 1. SVG vectorial incrustado."/>
            <wp:cNvGraphicFramePr>
              <a:graphicFrameLocks noChangeAspect="1"/>
            </wp:cNvGraphicFramePr>
            <a:graphic>
              <a:graphicData uri="http://schemas.openxmlformats.org/drawingml/2006/picture">
                <pic:pic>
                  <pic:nvPicPr>
                    <pic:cNvPr id="0" name="image.png"/>
                    <pic:cNvPicPr/>
                  </pic:nvPicPr>
                  <pic:blipFill>
                    <a:blip r:embed="rId17">
                      <a:extLst>
                        <a:ext uri="{96DAC541-7B7A-43D3-8B79-37D633B846F1}">
                          <asvg:svgBlip xmlns:asvg="http://schemas.microsoft.com/office/drawing/2016/SVG/main" r:embed="rId18"/>
                        </a:ext>
                      </a:extLst>
                    </a:blip>
                    <a:stretch>
                      <a:fillRect/>
                    </a:stretch>
                  </pic:blipFill>
                  <pic:spPr>
                    <a:xfrm>
                      <a:off x="0" y="0"/>
                      <a:ext cx="6217920" cy="4041648"/>
                    </a:xfrm>
                    <a:prstGeom prst="rect"/>
                  </pic:spPr>
                </pic:pic>
              </a:graphicData>
            </a:graphic>
          </wp:inline>
        </w:drawing>
      </w:r>
    </w:p>
    <w:p>
      <w:pPr>
        <w:keepNext w:val="0"/>
        <w:keepLines/>
        <w:jc w:val="center"/>
      </w:pPr>
      <w:r>
        <w:rPr>
          <w:rFonts w:ascii="Arial" w:hAnsi="Arial"/>
          <w:b w:val="0"/>
          <w:i/>
          <w:color w:val="5B6573"/>
          <w:sz w:val="18"/>
        </w:rPr>
        <w:t>Figura 1. Contexto y límite del backend administrativo.</w:t>
      </w:r>
    </w:p>
    <w:p>
      <w:r>
        <w:br w:type="page"/>
      </w:r>
    </w:p>
    <w:p>
      <w:pPr>
        <w:keepNext/>
        <w:spacing w:line="240" w:lineRule="auto" w:before="80" w:after="80"/>
        <w:jc w:val="center"/>
      </w:pPr>
      <w:r>
        <w:drawing>
          <wp:inline xmlns:a="http://schemas.openxmlformats.org/drawingml/2006/main" xmlns:pic="http://schemas.openxmlformats.org/drawingml/2006/picture">
            <wp:extent cx="6217920" cy="4179824"/>
            <wp:docPr id="8" name="02_Componentes_Aprueba_Administracion.svg" descr="02_Componentes_Aprueba_Administracion. Diseño propuesto de Fase 1. SVG vectorial incrustado."/>
            <wp:cNvGraphicFramePr>
              <a:graphicFrameLocks noChangeAspect="1"/>
            </wp:cNvGraphicFramePr>
            <a:graphic>
              <a:graphicData uri="http://schemas.openxmlformats.org/drawingml/2006/picture">
                <pic:pic>
                  <pic:nvPicPr>
                    <pic:cNvPr id="0" name="image.png"/>
                    <pic:cNvPicPr/>
                  </pic:nvPicPr>
                  <pic:blipFill>
                    <a:blip r:embed="rId19">
                      <a:extLst>
                        <a:ext uri="{96DAC541-7B7A-43D3-8B79-37D633B846F1}">
                          <asvg:svgBlip xmlns:asvg="http://schemas.microsoft.com/office/drawing/2016/SVG/main" r:embed="rId20"/>
                        </a:ext>
                      </a:extLst>
                    </a:blip>
                    <a:stretch>
                      <a:fillRect/>
                    </a:stretch>
                  </pic:blipFill>
                  <pic:spPr>
                    <a:xfrm>
                      <a:off x="0" y="0"/>
                      <a:ext cx="6217920" cy="4179824"/>
                    </a:xfrm>
                    <a:prstGeom prst="rect"/>
                  </pic:spPr>
                </pic:pic>
              </a:graphicData>
            </a:graphic>
          </wp:inline>
        </w:drawing>
      </w:r>
    </w:p>
    <w:p>
      <w:pPr>
        <w:keepNext w:val="0"/>
        <w:keepLines/>
        <w:jc w:val="center"/>
      </w:pPr>
      <w:r>
        <w:rPr>
          <w:rFonts w:ascii="Arial" w:hAnsi="Arial"/>
          <w:b w:val="0"/>
          <w:i/>
          <w:color w:val="5B6573"/>
          <w:sz w:val="18"/>
        </w:rPr>
        <w:t>Figura 2. Componentes UML propuestos para el backend Node.js y Express. No representa módulos ya verificados.</w:t>
      </w:r>
    </w:p>
    <w:p>
      <w:pPr>
        <w:pStyle w:val="Heading2"/>
      </w:pPr>
      <w:r>
        <w:t>Casos de uso administrativos</w:t>
      </w:r>
    </w:p>
    <w:p>
      <w:r>
        <w:t>La vista general relaciona los roles admin, finance, ops y support con sus objetivos. Las 14 agrupaciones cubren los 27 endpoints del contrato. Las líneas continuas son asociaciones, no un orden de ejecución; las alternativas se detallan en escenarios y secuencias. Los permisos proceden del contrato, no de supuestas respuestas de la empresa.</w:t>
      </w:r>
    </w:p>
    <w:p>
      <w:pPr>
        <w:keepNext/>
        <w:spacing w:line="240" w:lineRule="auto" w:before="80" w:after="80"/>
        <w:jc w:val="center"/>
      </w:pPr>
      <w:r>
        <w:drawing>
          <wp:inline xmlns:a="http://schemas.openxmlformats.org/drawingml/2006/main" xmlns:pic="http://schemas.openxmlformats.org/drawingml/2006/picture">
            <wp:extent cx="6217920" cy="5112512"/>
            <wp:docPr id="12" name="03_Casos_de_Uso.svg" descr="03_Casos_de_Uso. Diseño propuesto de Fase 1. SVG vectorial incrustado."/>
            <wp:cNvGraphicFramePr>
              <a:graphicFrameLocks noChangeAspect="1"/>
            </wp:cNvGraphicFramePr>
            <a:graphic>
              <a:graphicData uri="http://schemas.openxmlformats.org/drawingml/2006/picture">
                <pic:pic>
                  <pic:nvPicPr>
                    <pic:cNvPr id="0" name="image.png"/>
                    <pic:cNvPicPr/>
                  </pic:nvPicPr>
                  <pic:blipFill>
                    <a:blip r:embed="rId27">
                      <a:extLst>
                        <a:ext uri="{96DAC541-7B7A-43D3-8B79-37D633B846F1}">
                          <asvg:svgBlip xmlns:asvg="http://schemas.microsoft.com/office/drawing/2016/SVG/main" r:embed="rId28"/>
                        </a:ext>
                      </a:extLst>
                    </a:blip>
                    <a:stretch>
                      <a:fillRect/>
                    </a:stretch>
                  </pic:blipFill>
                  <pic:spPr>
                    <a:xfrm>
                      <a:off x="0" y="0"/>
                      <a:ext cx="6217920" cy="5112512"/>
                    </a:xfrm>
                    <a:prstGeom prst="rect"/>
                  </pic:spPr>
                </pic:pic>
              </a:graphicData>
            </a:graphic>
          </wp:inline>
        </w:drawing>
      </w:r>
    </w:p>
    <w:p>
      <w:pPr>
        <w:pStyle w:val="Caption"/>
        <w:keepNext w:val="0"/>
        <w:keepLines/>
      </w:pPr>
      <w:r>
        <w:t>Figura 3. Casos de uso por rol. La especificación completa de entradas, respuestas y reglas permanece en el contrato API.</w:t>
      </w:r>
    </w:p>
    <w:p>
      <w:pPr>
        <w:pStyle w:val="Heading1"/>
      </w:pPr>
      <w:r>
        <w:t>4. Interacciones</w:t>
      </w:r>
    </w:p>
    <w:p>
      <w:pPr>
        <w:jc w:val="both"/>
      </w:pPr>
      <w:r>
        <w:t>La secuencia ilustra una consulta protegida de detalle de usuario. El cliente envía GET /admin/users/{id}; la API comprueba autenticación y permisos antes de consultar datos. El esquema separa las ramas 401 y 403 de la consulta autorizada, que puede terminar en 200 o 404. Es un diseño propuesto, no una ejecución registrada. El login público y las operaciones con respuesta 204 no se representan mediante este ejemplo.</w:t>
      </w:r>
    </w:p>
    <w:p>
      <w:pPr>
        <w:keepNext/>
        <w:spacing w:line="240" w:lineRule="auto" w:before="80" w:after="80"/>
        <w:jc w:val="center"/>
      </w:pPr>
      <w:r>
        <w:drawing>
          <wp:inline xmlns:a="http://schemas.openxmlformats.org/drawingml/2006/main" xmlns:pic="http://schemas.openxmlformats.org/drawingml/2006/picture">
            <wp:extent cx="6217920" cy="4939792"/>
            <wp:docPr id="9" name="04_Secuencia_Principal.svg" descr="04_Secuencia_Principal. Diseño propuesto de Fase 1. SVG vectorial incrustado."/>
            <wp:cNvGraphicFramePr>
              <a:graphicFrameLocks noChangeAspect="1"/>
            </wp:cNvGraphicFramePr>
            <a:graphic>
              <a:graphicData uri="http://schemas.openxmlformats.org/drawingml/2006/picture">
                <pic:pic>
                  <pic:nvPicPr>
                    <pic:cNvPr id="0" name="image.png"/>
                    <pic:cNvPicPr/>
                  </pic:nvPicPr>
                  <pic:blipFill>
                    <a:blip r:embed="rId21">
                      <a:extLst>
                        <a:ext uri="{96DAC541-7B7A-43D3-8B79-37D633B846F1}">
                          <asvg:svgBlip xmlns:asvg="http://schemas.microsoft.com/office/drawing/2016/SVG/main" r:embed="rId22"/>
                        </a:ext>
                      </a:extLst>
                    </a:blip>
                    <a:stretch>
                      <a:fillRect/>
                    </a:stretch>
                  </pic:blipFill>
                  <pic:spPr>
                    <a:xfrm>
                      <a:off x="0" y="0"/>
                      <a:ext cx="6217920" cy="4939792"/>
                    </a:xfrm>
                    <a:prstGeom prst="rect"/>
                  </pic:spPr>
                </pic:pic>
              </a:graphicData>
            </a:graphic>
          </wp:inline>
        </w:drawing>
      </w:r>
    </w:p>
    <w:p>
      <w:pPr>
        <w:keepNext w:val="0"/>
        <w:keepLines/>
        <w:jc w:val="center"/>
      </w:pPr>
      <w:r>
        <w:rPr>
          <w:rFonts w:ascii="Arial" w:hAnsi="Arial"/>
          <w:b w:val="0"/>
          <w:i/>
          <w:color w:val="5B6573"/>
          <w:sz w:val="18"/>
        </w:rPr>
        <w:t>Figura 4. Secuencia propuesta de GET /admin/users/{id}, con alternativas 401, 403, 200 y 404.</w:t>
      </w:r>
    </w:p>
    <w:p>
      <w:pPr>
        <w:pStyle w:val="Heading1"/>
      </w:pPr>
      <w:r>
        <w:t>5. Modelo lógico de datos</w:t>
      </w:r>
    </w:p>
    <w:p>
      <w:pPr>
        <w:jc w:val="both"/>
      </w:pPr>
      <w:r>
        <w:rPr>
          <w:rFonts w:ascii="Arial" w:hAnsi="Arial"/>
          <w:b w:val="0"/>
          <w:i w:val="0"/>
          <w:color w:val="17212B"/>
          <w:sz w:val="21"/>
        </w:rPr>
        <w:t>El modelo separa las entidades administrativas, sus referencias y multiplicidades propuestas. La orientación documental concuerda con la configuración Firestore de la copia entregada, pero no confirma nombres físicos, índices, esquema recibido ni acceso operativo. Esos detalles requieren la base de datos que entregará la contraparte y las aclaraciones pendientes.</w:t>
      </w:r>
    </w:p>
    <w:p>
      <w:pPr>
        <w:keepNext/>
        <w:spacing w:line="240" w:lineRule="auto" w:before="80" w:after="80"/>
        <w:jc w:val="center"/>
      </w:pPr>
      <w:r>
        <w:drawing>
          <wp:inline xmlns:a="http://schemas.openxmlformats.org/drawingml/2006/main" xmlns:pic="http://schemas.openxmlformats.org/drawingml/2006/picture">
            <wp:extent cx="6217920" cy="5216144"/>
            <wp:docPr id="10" name="06_Modelo_Logico_Datos_Backend.svg" descr="06_Modelo_Logico_Datos_Backend. Diseño propuesto de Fase 1. SVG vectorial incrustado."/>
            <wp:cNvGraphicFramePr>
              <a:graphicFrameLocks noChangeAspect="1"/>
            </wp:cNvGraphicFramePr>
            <a:graphic>
              <a:graphicData uri="http://schemas.openxmlformats.org/drawingml/2006/picture">
                <pic:pic>
                  <pic:nvPicPr>
                    <pic:cNvPr id="0" name="image.png"/>
                    <pic:cNvPicPr/>
                  </pic:nvPicPr>
                  <pic:blipFill>
                    <a:blip r:embed="rId23">
                      <a:extLst>
                        <a:ext uri="{96DAC541-7B7A-43D3-8B79-37D633B846F1}">
                          <asvg:svgBlip xmlns:asvg="http://schemas.microsoft.com/office/drawing/2016/SVG/main" r:embed="rId24"/>
                        </a:ext>
                      </a:extLst>
                    </a:blip>
                    <a:stretch>
                      <a:fillRect/>
                    </a:stretch>
                  </pic:blipFill>
                  <pic:spPr>
                    <a:xfrm>
                      <a:off x="0" y="0"/>
                      <a:ext cx="6217920" cy="5216144"/>
                    </a:xfrm>
                    <a:prstGeom prst="rect"/>
                  </pic:spPr>
                </pic:pic>
              </a:graphicData>
            </a:graphic>
          </wp:inline>
        </w:drawing>
      </w:r>
    </w:p>
    <w:p>
      <w:pPr>
        <w:keepNext w:val="0"/>
        <w:keepLines/>
        <w:jc w:val="center"/>
      </w:pPr>
      <w:r>
        <w:rPr>
          <w:rFonts w:ascii="Arial" w:hAnsi="Arial"/>
          <w:b w:val="0"/>
          <w:i/>
          <w:color w:val="5B6573"/>
          <w:sz w:val="18"/>
        </w:rPr>
        <w:t>Figura 5. Modelo lógico documental propuesto. Relaciones y multiplicidades sujetas a validación del esquema entregado.</w:t>
      </w:r>
    </w:p>
    <w:p>
      <w:pPr>
        <w:pStyle w:val="Heading1"/>
      </w:pPr>
      <w:r>
        <w:t>6. Seguridad, validación y errores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1814"/>
            <w:shd w:fill="17365D"/>
            <w:vAlign w:val="center"/>
          </w:tcPr>
          <w:p>
            <w:r>
              <w:rPr>
                <w:rFonts w:ascii="Arial" w:hAnsi="Arial"/>
                <w:b/>
                <w:i w:val="0"/>
                <w:color w:val="FFFFFF"/>
                <w:sz w:val="17"/>
              </w:rPr>
              <w:t>Control</w:t>
            </w:r>
          </w:p>
        </w:tc>
        <w:tc>
          <w:tcPr>
            <w:tcW w:type="dxa" w:w="3969"/>
            <w:shd w:fill="17365D"/>
            <w:vAlign w:val="center"/>
          </w:tcPr>
          <w:p>
            <w:r>
              <w:rPr>
                <w:rFonts w:ascii="Arial" w:hAnsi="Arial"/>
                <w:b/>
                <w:i w:val="0"/>
                <w:color w:val="FFFFFF"/>
                <w:sz w:val="17"/>
              </w:rPr>
              <w:t>Diseño esperado</w:t>
            </w:r>
          </w:p>
        </w:tc>
        <w:tc>
          <w:tcPr>
            <w:tcW w:type="dxa" w:w="3969"/>
            <w:shd w:fill="17365D"/>
            <w:vAlign w:val="center"/>
          </w:tcPr>
          <w:p>
            <w:r>
              <w:rPr>
                <w:rFonts w:ascii="Arial" w:hAnsi="Arial"/>
                <w:b/>
                <w:i w:val="0"/>
                <w:color w:val="FFFFFF"/>
                <w:sz w:val="17"/>
              </w:rPr>
              <w:t>Verificación futura</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Autenticación</w:t>
            </w:r>
          </w:p>
        </w:tc>
        <w:tc>
          <w:tcPr>
            <w:tcW w:type="dxa" w:w="3969"/>
            <w:tcMar>
              <w:top w:w="70" w:type="dxa"/>
              <w:start w:w="100" w:type="dxa"/>
              <w:bottom w:w="70" w:type="dxa"/>
              <w:end w:w="100" w:type="dxa"/>
            </w:tcMar>
            <w:vAlign w:val="center"/>
          </w:tcPr>
          <w:p>
            <w:r>
              <w:rPr>
                <w:rFonts w:ascii="Arial" w:hAnsi="Arial"/>
                <w:b w:val="0"/>
                <w:i w:val="0"/>
                <w:color w:val="17212B"/>
                <w:sz w:val="17"/>
              </w:rPr>
              <w:t>Login administrativo y emisión de token según contrato.</w:t>
            </w:r>
          </w:p>
        </w:tc>
        <w:tc>
          <w:tcPr>
            <w:tcW w:type="dxa" w:w="3969"/>
            <w:tcMar>
              <w:top w:w="70" w:type="dxa"/>
              <w:start w:w="100" w:type="dxa"/>
              <w:bottom w:w="70" w:type="dxa"/>
              <w:end w:w="100" w:type="dxa"/>
            </w:tcMar>
            <w:vAlign w:val="center"/>
          </w:tcPr>
          <w:p>
            <w:r>
              <w:rPr>
                <w:rFonts w:ascii="Arial" w:hAnsi="Arial"/>
                <w:b w:val="0"/>
                <w:i w:val="0"/>
                <w:color w:val="17212B"/>
                <w:sz w:val="17"/>
              </w:rPr>
              <w:t>Caso positivo y credenciales inválidas.</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Autorización</w:t>
            </w:r>
          </w:p>
        </w:tc>
        <w:tc>
          <w:tcPr>
            <w:tcW w:type="dxa" w:w="3969"/>
            <w:shd w:fill="EDF4FA"/>
            <w:tcMar>
              <w:top w:w="70" w:type="dxa"/>
              <w:start w:w="100" w:type="dxa"/>
              <w:bottom w:w="70" w:type="dxa"/>
              <w:end w:w="100" w:type="dxa"/>
            </w:tcMar>
            <w:vAlign w:val="center"/>
          </w:tcPr>
          <w:p>
            <w:r>
              <w:rPr>
                <w:rFonts w:ascii="Arial" w:hAnsi="Arial"/>
                <w:b w:val="0"/>
                <w:i w:val="0"/>
                <w:color w:val="17212B"/>
                <w:sz w:val="17"/>
              </w:rPr>
              <w:t>Rutas protegidas y roles admin, finance, ops y support.</w:t>
            </w:r>
          </w:p>
        </w:tc>
        <w:tc>
          <w:tcPr>
            <w:tcW w:type="dxa" w:w="3969"/>
            <w:shd w:fill="EDF4FA"/>
            <w:tcMar>
              <w:top w:w="70" w:type="dxa"/>
              <w:start w:w="100" w:type="dxa"/>
              <w:bottom w:w="70" w:type="dxa"/>
              <w:end w:w="100" w:type="dxa"/>
            </w:tcMar>
            <w:vAlign w:val="center"/>
          </w:tcPr>
          <w:p>
            <w:r>
              <w:rPr>
                <w:rFonts w:ascii="Arial" w:hAnsi="Arial"/>
                <w:b w:val="0"/>
                <w:i w:val="0"/>
                <w:color w:val="17212B"/>
                <w:sz w:val="17"/>
              </w:rPr>
              <w:t>401 sin autenticación y 403 sin privilegio.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Validación</w:t>
            </w:r>
          </w:p>
        </w:tc>
        <w:tc>
          <w:tcPr>
            <w:tcW w:type="dxa" w:w="3969"/>
            <w:tcMar>
              <w:top w:w="70" w:type="dxa"/>
              <w:start w:w="100" w:type="dxa"/>
              <w:bottom w:w="70" w:type="dxa"/>
              <w:end w:w="100" w:type="dxa"/>
            </w:tcMar>
            <w:vAlign w:val="center"/>
          </w:tcPr>
          <w:p>
            <w:r>
              <w:rPr>
                <w:rFonts w:ascii="Arial" w:hAnsi="Arial"/>
                <w:b w:val="0"/>
                <w:i w:val="0"/>
                <w:color w:val="17212B"/>
                <w:sz w:val="17"/>
              </w:rPr>
              <w:t>Path, query y body antes de ejecutar la operación.</w:t>
            </w:r>
          </w:p>
        </w:tc>
        <w:tc>
          <w:tcPr>
            <w:tcW w:type="dxa" w:w="3969"/>
            <w:tcMar>
              <w:top w:w="70" w:type="dxa"/>
              <w:start w:w="100" w:type="dxa"/>
              <w:bottom w:w="70" w:type="dxa"/>
              <w:end w:w="100" w:type="dxa"/>
            </w:tcMar>
            <w:vAlign w:val="center"/>
          </w:tcPr>
          <w:p>
            <w:r>
              <w:rPr>
                <w:rFonts w:ascii="Arial" w:hAnsi="Arial"/>
                <w:b w:val="0"/>
                <w:i w:val="0"/>
                <w:color w:val="17212B"/>
                <w:sz w:val="17"/>
              </w:rPr>
              <w:t>Campos, tipos, rangos y reglas inválidas.</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Errores</w:t>
            </w:r>
          </w:p>
        </w:tc>
        <w:tc>
          <w:tcPr>
            <w:tcW w:type="dxa" w:w="3969"/>
            <w:shd w:fill="EDF4FA"/>
            <w:tcMar>
              <w:top w:w="70" w:type="dxa"/>
              <w:start w:w="100" w:type="dxa"/>
              <w:bottom w:w="70" w:type="dxa"/>
              <w:end w:w="100" w:type="dxa"/>
            </w:tcMar>
            <w:vAlign w:val="center"/>
          </w:tcPr>
          <w:p>
            <w:r>
              <w:rPr>
                <w:rFonts w:ascii="Arial" w:hAnsi="Arial"/>
                <w:b w:val="0"/>
                <w:i w:val="0"/>
                <w:color w:val="17212B"/>
                <w:sz w:val="17"/>
              </w:rPr>
              <w:t>Respuesta coherente con códigos y estructura del contrato.</w:t>
            </w:r>
          </w:p>
        </w:tc>
        <w:tc>
          <w:tcPr>
            <w:tcW w:type="dxa" w:w="3969"/>
            <w:shd w:fill="EDF4FA"/>
            <w:tcMar>
              <w:top w:w="70" w:type="dxa"/>
              <w:start w:w="100" w:type="dxa"/>
              <w:bottom w:w="70" w:type="dxa"/>
              <w:end w:w="100" w:type="dxa"/>
            </w:tcMar>
            <w:vAlign w:val="center"/>
          </w:tcPr>
          <w:p>
            <w:r>
              <w:rPr>
                <w:rFonts w:ascii="Arial" w:hAnsi="Arial"/>
                <w:b w:val="0"/>
                <w:i w:val="0"/>
                <w:color w:val="17212B"/>
                <w:sz w:val="17"/>
              </w:rPr>
              <w:t>Contrato sobre escenarios positivos y negativos.</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Paginación</w:t>
            </w:r>
          </w:p>
        </w:tc>
        <w:tc>
          <w:tcPr>
            <w:tcW w:type="dxa" w:w="3969"/>
            <w:tcMar>
              <w:top w:w="70" w:type="dxa"/>
              <w:start w:w="100" w:type="dxa"/>
              <w:bottom w:w="70" w:type="dxa"/>
              <w:end w:w="100" w:type="dxa"/>
            </w:tcMar>
            <w:vAlign w:val="center"/>
          </w:tcPr>
          <w:p>
            <w:r>
              <w:rPr>
                <w:rFonts w:ascii="Arial" w:hAnsi="Arial"/>
                <w:b w:val="0"/>
                <w:i w:val="0"/>
                <w:color w:val="17212B"/>
                <w:sz w:val="17"/>
              </w:rPr>
              <w:t>Límites y metadatos uniformes en listados.</w:t>
            </w:r>
          </w:p>
        </w:tc>
        <w:tc>
          <w:tcPr>
            <w:tcW w:type="dxa" w:w="3969"/>
            <w:tcMar>
              <w:top w:w="70" w:type="dxa"/>
              <w:start w:w="100" w:type="dxa"/>
              <w:bottom w:w="70" w:type="dxa"/>
              <w:end w:w="100" w:type="dxa"/>
            </w:tcMar>
            <w:vAlign w:val="center"/>
          </w:tcPr>
          <w:p>
            <w:r>
              <w:rPr>
                <w:rFonts w:ascii="Arial" w:hAnsi="Arial"/>
                <w:b w:val="0"/>
                <w:i w:val="0"/>
                <w:color w:val="17212B"/>
                <w:sz w:val="17"/>
              </w:rPr>
              <w:t>Valores límite y navegación.</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Auditoría</w:t>
            </w:r>
          </w:p>
        </w:tc>
        <w:tc>
          <w:tcPr>
            <w:tcW w:type="dxa" w:w="3969"/>
            <w:shd w:fill="EDF4FA"/>
            <w:tcMar>
              <w:top w:w="70" w:type="dxa"/>
              <w:start w:w="100" w:type="dxa"/>
              <w:bottom w:w="70" w:type="dxa"/>
              <w:end w:w="100" w:type="dxa"/>
            </w:tcMar>
            <w:vAlign w:val="center"/>
          </w:tcPr>
          <w:p>
            <w:r>
              <w:rPr>
                <w:rFonts w:ascii="Arial" w:hAnsi="Arial"/>
                <w:b w:val="0"/>
                <w:i w:val="0"/>
                <w:color w:val="17212B"/>
                <w:sz w:val="17"/>
              </w:rPr>
              <w:t>Actor, recurso, acción, fecha y resultado en operaciones sensibles.</w:t>
            </w:r>
          </w:p>
        </w:tc>
        <w:tc>
          <w:tcPr>
            <w:tcW w:type="dxa" w:w="3969"/>
            <w:shd w:fill="EDF4FA"/>
            <w:tcMar>
              <w:top w:w="70" w:type="dxa"/>
              <w:start w:w="100" w:type="dxa"/>
              <w:bottom w:w="70" w:type="dxa"/>
              <w:end w:w="100" w:type="dxa"/>
            </w:tcMar>
            <w:vAlign w:val="center"/>
          </w:tcPr>
          <w:p>
            <w:r>
              <w:rPr>
                <w:rFonts w:ascii="Arial" w:hAnsi="Arial"/>
                <w:b w:val="0"/>
                <w:i w:val="0"/>
                <w:color w:val="17212B"/>
                <w:sz w:val="17"/>
              </w:rPr>
              <w:t>Trazabilidad de eventos autorizados.</w:t>
            </w:r>
          </w:p>
        </w:tc>
      </w:tr>
    </w:tbl>
    <w:p/>
    <w:p>
      <w:pPr>
        <w:pStyle w:val="Heading1"/>
      </w:pPr>
      <w:r>
        <w:t>7. Despliegue objetivo</w:t>
      </w:r>
    </w:p>
    <w:p>
      <w:pPr>
        <w:keepNext/>
        <w:spacing w:line="240" w:lineRule="auto" w:before="80" w:after="80"/>
        <w:jc w:val="center"/>
      </w:pPr>
      <w:r>
        <w:drawing>
          <wp:inline xmlns:a="http://schemas.openxmlformats.org/drawingml/2006/main" xmlns:pic="http://schemas.openxmlformats.org/drawingml/2006/picture">
            <wp:extent cx="6217920" cy="5043424"/>
            <wp:docPr id="11" name="05_Despliegue_Objetivo.svg" descr="05_Despliegue_Objetivo. Diseño propuesto de Fase 1. SVG vectorial incrustado."/>
            <wp:cNvGraphicFramePr>
              <a:graphicFrameLocks noChangeAspect="1"/>
            </wp:cNvGraphicFramePr>
            <a:graphic>
              <a:graphicData uri="http://schemas.openxmlformats.org/drawingml/2006/picture">
                <pic:pic>
                  <pic:nvPicPr>
                    <pic:cNvPr id="0" name="image.png"/>
                    <pic:cNvPicPr/>
                  </pic:nvPicPr>
                  <pic:blipFill>
                    <a:blip r:embed="rId25">
                      <a:extLst>
                        <a:ext uri="{96DAC541-7B7A-43D3-8B79-37D633B846F1}">
                          <asvg:svgBlip xmlns:asvg="http://schemas.microsoft.com/office/drawing/2016/SVG/main" r:embed="rId26"/>
                        </a:ext>
                      </a:extLst>
                    </a:blip>
                    <a:stretch>
                      <a:fillRect/>
                    </a:stretch>
                  </pic:blipFill>
                  <pic:spPr>
                    <a:xfrm>
                      <a:off x="0" y="0"/>
                      <a:ext cx="6217920" cy="5043424"/>
                    </a:xfrm>
                    <a:prstGeom prst="rect"/>
                  </pic:spPr>
                </pic:pic>
              </a:graphicData>
            </a:graphic>
          </wp:inline>
        </w:drawing>
      </w:r>
    </w:p>
    <w:p>
      <w:pPr>
        <w:keepNext w:val="0"/>
        <w:keepLines/>
        <w:jc w:val="center"/>
      </w:pPr>
      <w:r>
        <w:rPr>
          <w:rFonts w:ascii="Arial" w:hAnsi="Arial"/>
          <w:b w:val="0"/>
          <w:i/>
          <w:color w:val="5B6573"/>
          <w:sz w:val="18"/>
        </w:rPr>
        <w:t>Figura 6. Despliegue UML propuesto en pruebas y producción. Proveedor, accesos y operación pendientes.</w:t>
      </w:r>
    </w:p>
    <w:tbl>
      <w:tblPr>
        <w:tblStyle w:val="TableGrid"/>
        <w:tblW w:type="auto" w:w="0"/>
        <w:jc w:val="center"/>
        <w:tblLook w:firstColumn="1" w:firstRow="1" w:lastColumn="0" w:lastRow="0" w:noHBand="0" w:noVBand="1" w:val="04A0"/>
      </w:tblPr>
      <w:tblGrid>
        <w:gridCol w:w="2268"/>
        <w:gridCol w:w="6803"/>
      </w:tblGrid>
      <w:tr>
        <w:tc>
          <w:tcPr>
            <w:tcW w:type="dxa" w:w="4929"/>
            <w:shd w:fill="17365D"/>
            <w:tcMar>
              <w:top w:w="90" w:type="dxa"/>
              <w:start w:w="100" w:type="dxa"/>
              <w:bottom w:w="90" w:type="dxa"/>
              <w:end w:w="100" w:type="dxa"/>
            </w:tcMar>
          </w:tcPr>
          <w:p>
            <w:r>
              <w:rPr>
                <w:rFonts w:ascii="Arial" w:hAnsi="Arial"/>
                <w:b/>
                <w:i w:val="0"/>
                <w:color w:val="FFFFFF"/>
                <w:sz w:val="18"/>
              </w:rPr>
              <w:t>PENDIENTE DE INSUMO</w:t>
            </w:r>
          </w:p>
        </w:tc>
        <w:tc>
          <w:tcPr>
            <w:tcW w:type="dxa" w:w="4929"/>
            <w:shd w:fill="FFF2CC"/>
            <w:tcMar>
              <w:top w:w="90" w:type="dxa"/>
              <w:start w:w="100" w:type="dxa"/>
              <w:bottom w:w="90" w:type="dxa"/>
              <w:end w:w="100" w:type="dxa"/>
            </w:tcMar>
          </w:tcPr>
          <w:p>
            <w:r>
              <w:rPr>
                <w:rFonts w:ascii="Arial" w:hAnsi="Arial"/>
                <w:b w:val="0"/>
                <w:i w:val="0"/>
                <w:color w:val="17212B"/>
                <w:sz w:val="18"/>
              </w:rPr>
              <w:t>JavaScript, Node.js y Express están confirmados como base. El esquema y los accesos de datos, las integraciones, la automatización, el empaquetado y la plataforma productiva requieren concreción. No se acredita ejecución ni despliegue.</w:t>
            </w:r>
          </w:p>
        </w:tc>
      </w:tr>
    </w:tbl>
    <w:p/>
    <w:p>
      <w:pPr>
        <w:pStyle w:val="Heading1"/>
      </w:pPr>
      <w:r>
        <w:t>8. Decisiones y pendientes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1814"/>
            <w:shd w:fill="17365D"/>
            <w:vAlign w:val="center"/>
          </w:tcPr>
          <w:p>
            <w:r>
              <w:rPr>
                <w:rFonts w:ascii="Arial" w:hAnsi="Arial"/>
                <w:b/>
                <w:i w:val="0"/>
                <w:color w:val="FFFFFF"/>
                <w:sz w:val="17"/>
              </w:rPr>
              <w:t>Tema</w:t>
            </w:r>
          </w:p>
        </w:tc>
        <w:tc>
          <w:tcPr>
            <w:tcW w:type="dxa" w:w="5783"/>
            <w:shd w:fill="17365D"/>
            <w:vAlign w:val="center"/>
          </w:tcPr>
          <w:p>
            <w:r>
              <w:rPr>
                <w:rFonts w:ascii="Arial" w:hAnsi="Arial"/>
                <w:b/>
                <w:i w:val="0"/>
                <w:color w:val="FFFFFF"/>
                <w:sz w:val="17"/>
              </w:rPr>
              <w:t>Decisión de Fase 1</w:t>
            </w:r>
          </w:p>
        </w:tc>
        <w:tc>
          <w:tcPr>
            <w:tcW w:type="dxa" w:w="2154"/>
            <w:shd w:fill="17365D"/>
            <w:vAlign w:val="center"/>
          </w:tcPr>
          <w:p>
            <w:r>
              <w:rPr>
                <w:rFonts w:ascii="Arial" w:hAnsi="Arial"/>
                <w:b/>
                <w:i w:val="0"/>
                <w:color w:val="FFFFFF"/>
                <w:sz w:val="17"/>
              </w:rPr>
              <w:t>Estado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Contrato</w:t>
            </w:r>
          </w:p>
        </w:tc>
        <w:tc>
          <w:tcPr>
            <w:tcW w:type="dxa" w:w="5783"/>
            <w:tcMar>
              <w:top w:w="70" w:type="dxa"/>
              <w:start w:w="100" w:type="dxa"/>
              <w:bottom w:w="70" w:type="dxa"/>
              <w:end w:w="100" w:type="dxa"/>
            </w:tcMar>
            <w:vAlign w:val="center"/>
          </w:tcPr>
          <w:p>
            <w:r>
              <w:rPr>
                <w:rFonts w:ascii="Arial" w:hAnsi="Arial"/>
                <w:b w:val="0"/>
                <w:i w:val="0"/>
                <w:color w:val="17212B"/>
                <w:sz w:val="17"/>
              </w:rPr>
              <w:t>Utilizar los 27 endpoints de la sección 4.</w:t>
            </w:r>
          </w:p>
        </w:tc>
        <w:tc>
          <w:tcPr>
            <w:tcW w:type="dxa" w:w="2154"/>
            <w:tcMar>
              <w:top w:w="70" w:type="dxa"/>
              <w:start w:w="100" w:type="dxa"/>
              <w:bottom w:w="70" w:type="dxa"/>
              <w:end w:w="100" w:type="dxa"/>
            </w:tcMar>
            <w:vAlign w:val="center"/>
          </w:tcPr>
          <w:p>
            <w:r>
              <w:rPr>
                <w:rFonts w:ascii="Arial" w:hAnsi="Arial"/>
                <w:b w:val="0"/>
                <w:i w:val="0"/>
                <w:color w:val="17212B"/>
                <w:sz w:val="17"/>
              </w:rPr>
              <w:t>CONFIRMADO</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Arquitectura</w:t>
            </w:r>
          </w:p>
        </w:tc>
        <w:tc>
          <w:tcPr>
            <w:tcW w:type="dxa" w:w="5783"/>
            <w:shd w:fill="EDF4FA"/>
            <w:tcMar>
              <w:top w:w="70" w:type="dxa"/>
              <w:start w:w="100" w:type="dxa"/>
              <w:bottom w:w="70" w:type="dxa"/>
              <w:end w:w="100" w:type="dxa"/>
            </w:tcMar>
            <w:vAlign w:val="center"/>
          </w:tcPr>
          <w:p>
            <w:r>
              <w:rPr>
                <w:rFonts w:ascii="Arial" w:hAnsi="Arial"/>
                <w:b w:val="0"/>
                <w:i w:val="0"/>
                <w:color w:val="17212B"/>
                <w:sz w:val="17"/>
              </w:rPr>
              <w:t>Separar responsabilidades y adaptadores en el backend Node.js y Express.</w:t>
            </w:r>
          </w:p>
        </w:tc>
        <w:tc>
          <w:tcPr>
            <w:tcW w:type="dxa" w:w="2154"/>
            <w:shd w:fill="EDF4FA"/>
            <w:tcMar>
              <w:top w:w="70" w:type="dxa"/>
              <w:start w:w="100" w:type="dxa"/>
              <w:bottom w:w="70" w:type="dxa"/>
              <w:end w:w="100" w:type="dxa"/>
            </w:tcMar>
            <w:vAlign w:val="center"/>
          </w:tcPr>
          <w:p>
            <w:r>
              <w:rPr>
                <w:rFonts w:ascii="Arial" w:hAnsi="Arial"/>
                <w:b w:val="0"/>
                <w:i w:val="0"/>
                <w:color w:val="17212B"/>
                <w:sz w:val="17"/>
              </w:rPr>
              <w:t>DECISIÓN DEL EQUIPO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Persistencia</w:t>
            </w:r>
          </w:p>
        </w:tc>
        <w:tc>
          <w:tcPr>
            <w:tcW w:type="dxa" w:w="5783"/>
            <w:tcMar>
              <w:top w:w="70" w:type="dxa"/>
              <w:start w:w="100" w:type="dxa"/>
              <w:bottom w:w="70" w:type="dxa"/>
              <w:end w:w="100" w:type="dxa"/>
            </w:tcMar>
            <w:vAlign w:val="center"/>
          </w:tcPr>
          <w:p>
            <w:r>
              <w:rPr>
                <w:rFonts w:ascii="Arial" w:hAnsi="Arial"/>
                <w:b w:val="0"/>
                <w:i w:val="0"/>
                <w:color w:val="17212B"/>
                <w:sz w:val="17"/>
              </w:rPr>
              <w:t>Definir modelo lógico; validar modelo físico al recibir la base.</w:t>
            </w:r>
          </w:p>
        </w:tc>
        <w:tc>
          <w:tcPr>
            <w:tcW w:type="dxa" w:w="2154"/>
            <w:shd w:fill="FFF2CC"/>
            <w:tcMar>
              <w:top w:w="70" w:type="dxa"/>
              <w:start w:w="100" w:type="dxa"/>
              <w:bottom w:w="70" w:type="dxa"/>
              <w:end w:w="100" w:type="dxa"/>
            </w:tcMar>
            <w:vAlign w:val="center"/>
          </w:tcPr>
          <w:p>
            <w:r>
              <w:rPr>
                <w:rFonts w:ascii="Arial" w:hAnsi="Arial"/>
                <w:b w:val="0"/>
                <w:i w:val="0"/>
                <w:color w:val="17212B"/>
                <w:sz w:val="17"/>
              </w:rPr>
              <w:t>PENDIENTE_DE_INSUMO</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Servicios</w:t>
            </w:r>
          </w:p>
        </w:tc>
        <w:tc>
          <w:tcPr>
            <w:tcW w:type="dxa" w:w="5783"/>
            <w:shd w:fill="EDF4FA"/>
            <w:tcMar>
              <w:top w:w="70" w:type="dxa"/>
              <w:start w:w="100" w:type="dxa"/>
              <w:bottom w:w="70" w:type="dxa"/>
              <w:end w:w="100" w:type="dxa"/>
            </w:tcMar>
            <w:vAlign w:val="center"/>
          </w:tcPr>
          <w:p>
            <w:r>
              <w:rPr>
                <w:rFonts w:ascii="Arial" w:hAnsi="Arial"/>
                <w:b w:val="0"/>
                <w:i w:val="0"/>
                <w:color w:val="17212B"/>
                <w:sz w:val="17"/>
              </w:rPr>
              <w:t>Conservar interfaces y dobles de prueba hasta confirmación.</w:t>
            </w:r>
          </w:p>
        </w:tc>
        <w:tc>
          <w:tcPr>
            <w:tcW w:type="dxa" w:w="2154"/>
            <w:shd w:fill="FFF2CC"/>
            <w:tcMar>
              <w:top w:w="70" w:type="dxa"/>
              <w:start w:w="100" w:type="dxa"/>
              <w:bottom w:w="70" w:type="dxa"/>
              <w:end w:w="100" w:type="dxa"/>
            </w:tcMar>
            <w:vAlign w:val="center"/>
          </w:tcPr>
          <w:p>
            <w:r>
              <w:rPr>
                <w:rFonts w:ascii="Arial" w:hAnsi="Arial"/>
                <w:b w:val="0"/>
                <w:i w:val="0"/>
                <w:color w:val="17212B"/>
                <w:sz w:val="17"/>
              </w:rPr>
              <w:t>PENDIENTE_DE_INSUMO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Cliente visual</w:t>
            </w:r>
          </w:p>
        </w:tc>
        <w:tc>
          <w:tcPr>
            <w:tcW w:type="dxa" w:w="5783"/>
            <w:tcMar>
              <w:top w:w="70" w:type="dxa"/>
              <w:start w:w="100" w:type="dxa"/>
              <w:bottom w:w="70" w:type="dxa"/>
              <w:end w:w="100" w:type="dxa"/>
            </w:tcMar>
            <w:vAlign w:val="center"/>
          </w:tcPr>
          <w:p>
            <w:r>
              <w:rPr>
                <w:rFonts w:ascii="Arial" w:hAnsi="Arial"/>
                <w:b w:val="0"/>
                <w:i w:val="0"/>
                <w:color w:val="17212B"/>
                <w:sz w:val="17"/>
              </w:rPr>
              <w:t>Usar solo si facilita la demostración.</w:t>
            </w:r>
          </w:p>
        </w:tc>
        <w:tc>
          <w:tcPr>
            <w:tcW w:type="dxa" w:w="2154"/>
            <w:tcMar>
              <w:top w:w="70" w:type="dxa"/>
              <w:start w:w="100" w:type="dxa"/>
              <w:bottom w:w="70" w:type="dxa"/>
              <w:end w:w="100" w:type="dxa"/>
            </w:tcMar>
            <w:vAlign w:val="center"/>
          </w:tcPr>
          <w:p>
            <w:r>
              <w:rPr>
                <w:rFonts w:ascii="Arial" w:hAnsi="Arial"/>
                <w:b w:val="0"/>
                <w:i w:val="0"/>
                <w:color w:val="17212B"/>
                <w:sz w:val="17"/>
              </w:rPr>
              <w:t>INTERFAZ AUXILIAR</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Despliegue</w:t>
            </w:r>
          </w:p>
        </w:tc>
        <w:tc>
          <w:tcPr>
            <w:tcW w:type="dxa" w:w="5783"/>
            <w:shd w:fill="EDF4FA"/>
            <w:tcMar>
              <w:top w:w="70" w:type="dxa"/>
              <w:start w:w="100" w:type="dxa"/>
              <w:bottom w:w="70" w:type="dxa"/>
              <w:end w:w="100" w:type="dxa"/>
            </w:tcMar>
            <w:vAlign w:val="center"/>
          </w:tcPr>
          <w:p>
            <w:r>
              <w:rPr>
                <w:rFonts w:ascii="Arial" w:hAnsi="Arial"/>
                <w:b w:val="0"/>
                <w:i w:val="0"/>
                <w:color w:val="17212B"/>
                <w:sz w:val="17"/>
              </w:rPr>
              <w:t>Definir capacidades antes de elegir herramienta o proveedor.</w:t>
            </w:r>
          </w:p>
        </w:tc>
        <w:tc>
          <w:tcPr>
            <w:tcW w:type="dxa" w:w="2154"/>
            <w:shd w:fill="FFF2CC"/>
            <w:tcMar>
              <w:top w:w="70" w:type="dxa"/>
              <w:start w:w="100" w:type="dxa"/>
              <w:bottom w:w="70" w:type="dxa"/>
              <w:end w:w="100" w:type="dxa"/>
            </w:tcMar>
            <w:vAlign w:val="center"/>
          </w:tcPr>
          <w:p>
            <w:r>
              <w:rPr>
                <w:rFonts w:ascii="Arial" w:hAnsi="Arial"/>
                <w:b w:val="0"/>
                <w:i w:val="0"/>
                <w:color w:val="17212B"/>
                <w:sz w:val="17"/>
              </w:rPr>
              <w:t>PENDIENTE_DE_INSUMO</w:t>
            </w:r>
          </w:p>
        </w:tc>
      </w:tr>
    </w:tbl>
    <w:p/>
    <w:p>
      <w:pPr>
        <w:pStyle w:val="Heading1"/>
      </w:pPr>
      <w:r>
        <w:t>Referencias</w:t>
      </w:r>
    </w:p>
    <w:p>
      <w:pPr>
        <w:ind w:left="680" w:hanging="680"/>
      </w:pPr>
      <w:r>
        <w:rPr>
          <w:rFonts w:ascii="Arial" w:hAnsi="Arial"/>
          <w:b w:val="0"/>
          <w:i w:val="0"/>
          <w:color w:val="17212B"/>
          <w:sz w:val="18"/>
        </w:rPr>
        <w:t>Aprueba. (2026). Especificación de API del backend, versión 1.0 [Documento técnico interno].</w:t>
      </w:r>
    </w:p>
    <w:p>
      <w:pPr>
        <w:ind w:left="680" w:hanging="680"/>
      </w:pPr>
      <w:r>
        <w:rPr>
          <w:rFonts w:ascii="Arial" w:hAnsi="Arial"/>
          <w:b w:val="0"/>
          <w:i w:val="0"/>
          <w:color w:val="17212B"/>
          <w:sz w:val="18"/>
        </w:rPr>
        <w:t>Schwaber, K., &amp; Sutherland, J. (2020). La guía de Scrum. https://scrumguides.org/docs/scrumguide/v2020/2020-Scrum-Guide-Spanish-Latin-South-American.pdf</w:t>
      </w:r>
    </w:p>
    <w:p>
      <w:pPr>
        <w:ind w:left="680" w:hanging="680"/>
      </w:pPr>
      <w:r>
        <w:rPr>
          <w:rFonts w:ascii="Arial" w:hAnsi="Arial"/>
          <w:b w:val="0"/>
          <w:i w:val="0"/>
          <w:color w:val="17212B"/>
          <w:sz w:val="18"/>
        </w:rPr>
        <w:t>National Institute of Standards and Technology. (2022). Secure software development framework (SSDF) version 1.1 (NIST SP 800-218). https://doi.org/10.6028/NIST.SP.800-218</w:t>
      </w:r>
    </w:p>
    <w:p>
      <w:pPr>
        <w:ind w:left="680" w:hanging="680"/>
      </w:pPr>
      <w:r>
        <w:rPr>
          <w:rFonts w:ascii="Arial" w:hAnsi="Arial"/>
          <w:b w:val="0"/>
          <w:i w:val="0"/>
          <w:color w:val="17212B"/>
          <w:sz w:val="18"/>
        </w:rPr>
        <w:t>OWASP Foundation. (2025). OWASP application security verification standard 5.0.0. https://owasp.org/www-project-application-security-verification-standard/</w:t>
      </w:r>
    </w:p>
    <w:sectPr w:rsidR="00FC693F" w:rsidRPr="0006063C" w:rsidSect="00034616">
      <w:headerReference w:type="default" r:id="rId9"/>
      <w:footerReference w:type="default" r:id="rId10"/>
      <w:pgSz w:w="12240" w:h="15840"/>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3"/>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7365D"/>
        <w:sz w:val="17"/>
      </w:rPr>
      <w:t>APRUEBA ADMINISTRACIÓN  |  FASE 1  |  SOLO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diagrama_01.svg"/><Relationship Id="rId19" Type="http://schemas.openxmlformats.org/officeDocument/2006/relationships/image" Target="media/image8.png"/><Relationship Id="rId20" Type="http://schemas.openxmlformats.org/officeDocument/2006/relationships/image" Target="media/diagrama_02.svg"/><Relationship Id="rId21" Type="http://schemas.openxmlformats.org/officeDocument/2006/relationships/image" Target="media/image9.png"/><Relationship Id="rId22" Type="http://schemas.openxmlformats.org/officeDocument/2006/relationships/image" Target="media/diagrama_04.svg"/><Relationship Id="rId23" Type="http://schemas.openxmlformats.org/officeDocument/2006/relationships/image" Target="media/image10.png"/><Relationship Id="rId24" Type="http://schemas.openxmlformats.org/officeDocument/2006/relationships/image" Target="media/diagrama_06.svg"/><Relationship Id="rId25" Type="http://schemas.openxmlformats.org/officeDocument/2006/relationships/image" Target="media/image11.png"/><Relationship Id="rId26" Type="http://schemas.openxmlformats.org/officeDocument/2006/relationships/image" Target="media/diagrama_05.svg"/><Relationship Id="rId27" Type="http://schemas.openxmlformats.org/officeDocument/2006/relationships/image" Target="media/image12.png"/><Relationship Id="rId28" Type="http://schemas.openxmlformats.org/officeDocument/2006/relationships/image" Target="media/diagrama_0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