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Informe de estado documental y plan de auditoría</w:t>
      </w:r>
    </w:p>
    <w:p>
      <w:pPr>
        <w:jc w:val="center"/>
      </w:pPr>
      <w:r>
        <w:rPr>
          <w:rFonts w:ascii="Arial" w:hAnsi="Arial"/>
          <w:b w:val="0"/>
          <w:i w:val="0"/>
          <w:color w:val="2F75B5"/>
          <w:sz w:val="26"/>
        </w:rPr>
        <w:t>Código vigente pendiente · No contiene conclusiones sobre la versión antigua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20"/>
        </w:rPr>
        <w:t>ESTADO TÉCNICO DE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Aprueba Administración Backend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Equipo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Tsung-Hao Liu · Catalina Yanara Padilla Astudillo · Felipe Antonio Rojas Riffo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de la sección 4 del contrato API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4 de septiembre de 2026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Este documento distingue requisitos confirmados, diseño propuesto, trabajo planificado y pendientes externos.</w:t>
      </w:r>
    </w:p>
    <w:p>
      <w:r>
        <w:br w:type="page"/>
      </w:r>
    </w:p>
    <w:p>
      <w:pPr>
        <w:pStyle w:val="Heading1"/>
      </w:pPr>
      <w:r>
        <w:t>1. Conclusión ejecutiva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NO EVALUADO</w:t>
            </w:r>
          </w:p>
        </w:tc>
        <w:tc>
          <w:tcPr>
            <w:tcW w:type="dxa" w:w="4929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El código vigente no fue entregado. Por tanto, no es posible concluir compilación, dependencias, pruebas, CI/CD, contenedores, vulnerabilidades, cobertura ni estado de despliegue.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La única verificación técnica cerrada en esta fase corresponde al contrato funcional: la sección 4 contiene 27 endpoints administrativos. El resto de las observaciones se conserva como protocolo de auditoría para ejecutar cuando se reciba el repositorio vigente.</w:t>
      </w:r>
    </w:p>
    <w:p>
      <w:pPr>
        <w:pStyle w:val="Heading1"/>
      </w:pPr>
      <w:r>
        <w:t>2. Evidencia disponible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40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Insumo</w:t>
            </w:r>
          </w:p>
        </w:tc>
        <w:tc>
          <w:tcPr>
            <w:tcW w:type="dxa" w:w="226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Disponibilidad</w:t>
            </w:r>
          </w:p>
        </w:tc>
        <w:tc>
          <w:tcPr>
            <w:tcW w:type="dxa" w:w="4082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Uso autorizado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Especificación API Backend v1.0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Disponible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 funcional y convenciones generales.</w:t>
            </w:r>
          </w:p>
        </w:tc>
      </w:tr>
      <w:tr>
        <w:trPr>
          <w:cantSplit/>
        </w:trPr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Código fuente vigente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disponible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Ninguna conclusión técnica.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Repositorio y commit de referencia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disponible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 de trazabilidad.</w:t>
            </w:r>
          </w:p>
        </w:tc>
      </w:tr>
      <w:tr>
        <w:trPr>
          <w:cantSplit/>
        </w:trPr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Base de datos y credenciales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disponible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 de integración segura.</w:t>
            </w:r>
          </w:p>
        </w:tc>
      </w:tr>
      <w:tr>
        <w:trPr>
          <w:cantSplit/>
        </w:trPr>
        <w:tc>
          <w:tcPr>
            <w:tcW w:type="dxa" w:w="340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Servicios externos</w:t>
            </w:r>
          </w:p>
        </w:tc>
        <w:tc>
          <w:tcPr>
            <w:tcW w:type="dxa" w:w="226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confirmados</w:t>
            </w:r>
          </w:p>
        </w:tc>
        <w:tc>
          <w:tcPr>
            <w:tcW w:type="dxa" w:w="408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Diseño por interfaces y dobles.</w:t>
            </w:r>
          </w:p>
        </w:tc>
      </w:tr>
      <w:tr>
        <w:trPr>
          <w:cantSplit/>
        </w:trPr>
        <w:tc>
          <w:tcPr>
            <w:tcW w:type="dxa" w:w="340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Ambientes y proveedor</w:t>
            </w:r>
          </w:p>
        </w:tc>
        <w:tc>
          <w:tcPr>
            <w:tcW w:type="dxa" w:w="226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confirmados</w:t>
            </w:r>
          </w:p>
        </w:tc>
        <w:tc>
          <w:tcPr>
            <w:tcW w:type="dxa" w:w="4082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Plan de capacidades, sin tecnología asignada.</w:t>
            </w:r>
          </w:p>
        </w:tc>
      </w:tr>
    </w:tbl>
    <w:p/>
    <w:p>
      <w:pPr>
        <w:pStyle w:val="Heading1"/>
      </w:pPr>
      <w:r>
        <w:t>3. Afirmaciones retiradas de la V2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Las siguientes expresiones no se conservan como hechos porque se originaron en una versión técnica no vigente. Su retiro no significa que el sistema tenga o no tenga esas condiciones; significa que actualmente no existe evidencia válida para afirmarlo.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628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Afirmación previa</w:t>
            </w:r>
          </w:p>
        </w:tc>
        <w:tc>
          <w:tcPr>
            <w:tcW w:type="dxa" w:w="198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Clasificación V3</w:t>
            </w:r>
          </w:p>
        </w:tc>
        <w:tc>
          <w:tcPr>
            <w:tcW w:type="dxa" w:w="413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Tratamiento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Compilación o ejecución verificada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Comprobar con el repositorio y entorno vigentes.</w:t>
            </w:r>
          </w:p>
        </w:tc>
      </w:tr>
      <w:tr>
        <w:trPr>
          <w:cantSplit/>
        </w:trPr>
        <w:tc>
          <w:tcPr>
            <w:tcW w:type="dxa" w:w="36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MFA demostrativo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Confirmar requisitos y revisar implementación actual.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Reinicio simulado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Verificar contrato e integración operativa vigente.</w:t>
            </w:r>
          </w:p>
        </w:tc>
      </w:tr>
      <w:tr>
        <w:trPr>
          <w:cantSplit/>
        </w:trPr>
        <w:tc>
          <w:tcPr>
            <w:tcW w:type="dxa" w:w="36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Ausencia de pruebas automatizadas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Inventariar suites y ejecutar una línea base.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Ausencia de CI/CD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Revisar configuración del repositorio vigente.</w:t>
            </w:r>
          </w:p>
        </w:tc>
      </w:tr>
      <w:tr>
        <w:trPr>
          <w:cantSplit/>
        </w:trPr>
        <w:tc>
          <w:tcPr>
            <w:tcW w:type="dxa" w:w="36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Ausencia de Dockerfile o contenedores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Revisar mecanismo real de empaquetado.</w:t>
            </w:r>
          </w:p>
        </w:tc>
      </w:tr>
      <w:tr>
        <w:trPr>
          <w:cantSplit/>
        </w:trPr>
        <w:tc>
          <w:tcPr>
            <w:tcW w:type="dxa" w:w="3628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Ausencia de lockfiles</w:t>
            </w:r>
          </w:p>
        </w:tc>
        <w:tc>
          <w:tcPr>
            <w:tcW w:type="dxa" w:w="1984"/>
            <w:shd w:fill="F2F2F2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NO_EVALUADO</w:t>
            </w:r>
          </w:p>
        </w:tc>
        <w:tc>
          <w:tcPr>
            <w:tcW w:type="dxa" w:w="413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Identificar lenguaje y administrador de dependencias.</w:t>
            </w:r>
          </w:p>
        </w:tc>
      </w:tr>
      <w:tr>
        <w:trPr>
          <w:cantSplit/>
        </w:trPr>
        <w:tc>
          <w:tcPr>
            <w:tcW w:type="dxa" w:w="3628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Uso de Firebase, Firestore o Stripe</w:t>
            </w:r>
          </w:p>
        </w:tc>
        <w:tc>
          <w:tcPr>
            <w:tcW w:type="dxa" w:w="198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CONFIRMADO</w:t>
            </w:r>
          </w:p>
        </w:tc>
        <w:tc>
          <w:tcPr>
            <w:tcW w:type="dxa" w:w="413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No incorporar hasta disponer de evidencia vigente.</w:t>
            </w:r>
          </w:p>
        </w:tc>
      </w:tr>
    </w:tbl>
    <w:p/>
    <w:p>
      <w:pPr>
        <w:pStyle w:val="Heading1"/>
      </w:pPr>
      <w:r>
        <w:t>4. Protocolo de recepción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Confirmar propietario, URL autorizada, rama y commit de línea base.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Revisar README, requisitos de ejecución y política de manejo de secretos.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Inventariar lenguaje, framework, manifiestos, dependencias, licencias y versiones.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Ejecutar instalación y build en un entorno limpio, registrando comandos y resultados.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Identificar rutas /admin implementadas y comparar métodos, roles, validaciones y respuestas con el contrato.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Inventariar y ejecutar pruebas; medir cobertura únicamente si la herramienta vigente lo permite.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Revisar configuración, autenticación, autorización, exposición de datos, registros y secretos.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Revisar automatización, empaquetado, despliegue, rollback, salud y observabilidad.</w:t>
      </w:r>
    </w:p>
    <w:p>
      <w:pPr>
        <w:pStyle w:val="ListNumber"/>
      </w:pPr>
      <w:r>
        <w:rPr>
          <w:rFonts w:ascii="Arial" w:hAnsi="Arial"/>
          <w:b w:val="0"/>
          <w:i w:val="0"/>
          <w:color w:val="17212B"/>
          <w:sz w:val="21"/>
        </w:rPr>
        <w:t>Registrar hallazgos reproducibles con severidad, evidencia, responsable y criterio de cierre.</w:t>
      </w:r>
    </w:p>
    <w:p>
      <w:pPr>
        <w:pStyle w:val="Heading1"/>
      </w:pPr>
      <w:r>
        <w:t>5. Criterios de hallazgo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Severidad</w:t>
            </w:r>
          </w:p>
        </w:tc>
        <w:tc>
          <w:tcPr>
            <w:tcW w:type="dxa" w:w="532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Criterio</w:t>
            </w:r>
          </w:p>
        </w:tc>
        <w:tc>
          <w:tcPr>
            <w:tcW w:type="dxa" w:w="2835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Respuesta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Crítica</w:t>
            </w:r>
          </w:p>
        </w:tc>
        <w:tc>
          <w:tcPr>
            <w:tcW w:type="dxa" w:w="532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Compromete credenciales, autorización, datos sensibles o disponibilidad esencial.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Bloquear release y corregir inmediatamente.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Alta</w:t>
            </w:r>
          </w:p>
        </w:tc>
        <w:tc>
          <w:tcPr>
            <w:tcW w:type="dxa" w:w="532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Incumple contrato o control de seguridad con impacto significativo.</w:t>
            </w:r>
          </w:p>
        </w:tc>
        <w:tc>
          <w:tcPr>
            <w:tcW w:type="dxa" w:w="2835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Corregir antes de aceptación.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Media</w:t>
            </w:r>
          </w:p>
        </w:tc>
        <w:tc>
          <w:tcPr>
            <w:tcW w:type="dxa" w:w="532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Afecta mantenibilidad, observabilidad o casos no críticos.</w:t>
            </w:r>
          </w:p>
        </w:tc>
        <w:tc>
          <w:tcPr>
            <w:tcW w:type="dxa" w:w="2835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Planificar dentro del sprint o release.</w:t>
            </w:r>
          </w:p>
        </w:tc>
      </w:tr>
      <w:tr>
        <w:trPr>
          <w:cantSplit/>
        </w:trPr>
        <w:tc>
          <w:tcPr>
            <w:tcW w:type="dxa" w:w="170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Baja</w:t>
            </w:r>
          </w:p>
        </w:tc>
        <w:tc>
          <w:tcPr>
            <w:tcW w:type="dxa" w:w="532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Mejora de consistencia, documentación o estilo sin impacto funcional inmediato.</w:t>
            </w:r>
          </w:p>
        </w:tc>
        <w:tc>
          <w:tcPr>
            <w:tcW w:type="dxa" w:w="2835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Registrar y priorizar.</w:t>
            </w:r>
          </w:p>
        </w:tc>
      </w:tr>
    </w:tbl>
    <w:p/>
    <w:p>
      <w:pPr>
        <w:pStyle w:val="Heading1"/>
      </w:pPr>
      <w:r>
        <w:t>6. Salida esperada de la auditoría futura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Inventario verificable del repositorio y sus dependencias.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Matriz contrato versus implementación para los 27 endpoints.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Resultados de build, pruebas y análisis de seguridad.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Lista de hallazgos reproducibles, sin conclusiones basadas en ausencia de archivos revisados.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Recomendaciones priorizadas y trazadas al backlog.</w:t>
      </w:r>
    </w:p>
    <w:p>
      <w:pPr>
        <w:pStyle w:val="Heading1"/>
      </w:pPr>
      <w:r>
        <w:t>Referencias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Aprueba. (2026). Especificación de API del backend, versión 1.0 [Documento técnico interno].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Schwaber, K., &amp; Sutherland, J. (2020). La guía de Scrum. https://scrumguides.org/docs/scrumguide/v2020/2020-Scrum-Guide-Spanish-Latin-South-American.pdf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National Institute of Standards and Technology. (2022). Secure software development framework (SSDF) version 1.1 (NIST SP 800-218). https://doi.org/10.6028/NIST.SP.800-218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OWASP Foundation. (2025). OWASP application security verification standard 5.0.0. https://owasp.org/www-project-application-security-verification-standard/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7365D"/>
        <w:sz w:val="17"/>
      </w:rPr>
      <w:t>APRUEBA ADMINISTRACIÓN  |  FASE 1  |  SOLO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