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diagrama_05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4720" cy="7778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prueb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777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Manual técnico y de ejecución</w:t>
      </w:r>
    </w:p>
    <w:p>
      <w:pPr>
        <w:jc w:val="center"/>
      </w:pPr>
      <w:r>
        <w:rPr>
          <w:rFonts w:ascii="Arial" w:hAnsi="Arial"/>
          <w:b w:val="0"/>
          <w:i w:val="0"/>
          <w:color w:val="2F75B5"/>
          <w:sz w:val="26"/>
        </w:rPr>
        <w:t>Borrador contractual del backend administrativo</w:t>
      </w:r>
    </w:p>
    <w:p>
      <w:pPr>
        <w:jc w:val="center"/>
      </w:pPr>
      <w:r>
        <w:rPr>
          <w:rFonts w:ascii="Arial" w:hAnsi="Arial"/>
          <w:b/>
          <w:i w:val="0"/>
          <w:color w:val="17365D"/>
          <w:sz w:val="20"/>
        </w:rPr>
        <w:t>BORRADOR · BLOQUEADO POR INSUMOS TÉCNICOS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Proyecto</w:t>
            </w:r>
          </w:p>
        </w:tc>
        <w:tc>
          <w:tcPr>
            <w:tcW w:type="dxa" w:w="492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8"/>
              </w:rPr>
              <w:t>Aprueba Administración Backend</w:t>
            </w:r>
          </w:p>
        </w:tc>
      </w:tr>
      <w:tr>
        <w:tc>
          <w:tcPr>
            <w:tcW w:type="dxa" w:w="4929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Equipo</w:t>
            </w:r>
          </w:p>
        </w:tc>
        <w:tc>
          <w:tcPr>
            <w:tcW w:type="dxa" w:w="492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8"/>
              </w:rPr>
              <w:t>Tsung-Hao Liu · Catalina Yanara Padilla Astudillo · Felipe Antonio Rojas Riffo</w:t>
            </w:r>
          </w:p>
        </w:tc>
      </w:tr>
      <w:tr>
        <w:tc>
          <w:tcPr>
            <w:tcW w:type="dxa" w:w="4929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Alcance</w:t>
            </w:r>
          </w:p>
        </w:tc>
        <w:tc>
          <w:tcPr>
            <w:tcW w:type="dxa" w:w="492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8"/>
              </w:rPr>
              <w:t>27 endpoints /admin de la sección 4 del contrato API</w:t>
            </w:r>
          </w:p>
        </w:tc>
      </w:tr>
      <w:tr>
        <w:tc>
          <w:tcPr>
            <w:tcW w:type="dxa" w:w="4929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Fecha</w:t>
            </w:r>
          </w:p>
        </w:tc>
        <w:tc>
          <w:tcPr>
            <w:tcW w:type="dxa" w:w="492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8"/>
              </w:rPr>
              <w:t>4 de septiembre de 2026</w:t>
            </w:r>
          </w:p>
        </w:tc>
      </w:tr>
    </w:tbl>
    <w:p/>
    <w:p>
      <w:pPr>
        <w:jc w:val="center"/>
      </w:pPr>
      <w:r>
        <w:rPr>
          <w:rFonts w:ascii="Arial" w:hAnsi="Arial"/>
          <w:b w:val="0"/>
          <w:i/>
          <w:color w:val="5B6573"/>
          <w:sz w:val="18"/>
        </w:rPr>
        <w:t>Este documento distingue requisitos confirmados, diseño propuesto, trabajo planificado y pendientes externos.</w:t>
      </w:r>
    </w:p>
    <w:p>
      <w:r>
        <w:br w:type="page"/>
      </w:r>
    </w:p>
    <w:p>
      <w:pPr>
        <w:pStyle w:val="Heading1"/>
      </w:pPr>
      <w:r>
        <w:t>1. Alcance del manual</w:t>
      </w:r>
    </w:p>
    <w:p>
      <w:pPr>
        <w:jc w:val="both"/>
      </w:pPr>
      <w:r>
        <w:rPr>
          <w:rFonts w:ascii="Arial" w:hAnsi="Arial"/>
          <w:b w:val="0"/>
          <w:i w:val="0"/>
          <w:color w:val="17212B"/>
          <w:sz w:val="21"/>
        </w:rPr>
        <w:t>Este borrador describe qué deberá contener el manual ejecutable de la API. El punto de partida es el código entregado en JavaScript, Node.js y Express. No se presentan comandos como probados: quedan por verificar la ejecución, las dependencias y la configuración con los datos y ambientes autorizados.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929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BLOQUEADO POR INSUMO</w:t>
            </w:r>
          </w:p>
        </w:tc>
        <w:tc>
          <w:tcPr>
            <w:tcW w:type="dxa" w:w="4929"/>
            <w:shd w:fill="FFF2C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17212B"/>
                <w:sz w:val="18"/>
              </w:rPr>
              <w:t>Completar comandos, versiones, variables, puertos, URLs y procedimiento de despliegue después de recibir y validar la versión vigente.</w:t>
            </w:r>
          </w:p>
        </w:tc>
      </w:tr>
    </w:tbl>
    <w:p/>
    <w:p>
      <w:pPr>
        <w:pStyle w:val="Heading1"/>
      </w:pPr>
      <w:r>
        <w:t>2. Requisitos previos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118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Elemento</w:t>
            </w:r>
          </w:p>
        </w:tc>
        <w:tc>
          <w:tcPr>
            <w:tcW w:type="dxa" w:w="1701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Valor actual</w:t>
            </w:r>
          </w:p>
        </w:tc>
        <w:tc>
          <w:tcPr>
            <w:tcW w:type="dxa" w:w="4819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Acción de recepción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Repositorio y commit</w:t>
            </w:r>
          </w:p>
        </w:tc>
        <w:tc>
          <w:tcPr>
            <w:tcW w:type="dxa" w:w="1701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PENDIENTE</w:t>
            </w:r>
          </w:p>
        </w:tc>
        <w:tc>
          <w:tcPr>
            <w:tcW w:type="dxa" w:w="481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Registrar URL autorizada, rama y SHA.</w:t>
            </w:r>
          </w:p>
        </w:tc>
      </w:tr>
      <w:tr>
        <w:trPr>
          <w:cantSplit/>
        </w:trPr>
        <w:tc>
          <w:tcPr>
            <w:tcW w:type="dxa" w:w="3118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Lenguaje y runtime</w:t>
            </w:r>
          </w:p>
        </w:tc>
        <w:tc>
          <w:tcPr>
            <w:tcW w:type="dxa" w:w="1701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JavaScript / Node.js; framework Express</w:t>
            </w:r>
          </w:p>
        </w:tc>
        <w:tc>
          <w:tcPr>
            <w:tcW w:type="dxa" w:w="4819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Conservar la base entregada y verificar la versión soportada al ejecutar.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Administrador de dependencias</w:t>
            </w:r>
          </w:p>
        </w:tc>
        <w:tc>
          <w:tcPr>
            <w:tcW w:type="dxa" w:w="1701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PENDIENTE</w:t>
            </w:r>
          </w:p>
        </w:tc>
        <w:tc>
          <w:tcPr>
            <w:tcW w:type="dxa" w:w="481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Usar manifiesto y archivo de bloqueo vigentes, si existen.</w:t>
            </w:r>
          </w:p>
        </w:tc>
      </w:tr>
      <w:tr>
        <w:trPr>
          <w:cantSplit/>
        </w:trPr>
        <w:tc>
          <w:tcPr>
            <w:tcW w:type="dxa" w:w="3118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Base de datos</w:t>
            </w:r>
          </w:p>
        </w:tc>
        <w:tc>
          <w:tcPr>
            <w:tcW w:type="dxa" w:w="1701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PENDIENTE</w:t>
            </w:r>
          </w:p>
        </w:tc>
        <w:tc>
          <w:tcPr>
            <w:tcW w:type="dxa" w:w="4819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Recibir cuenta, esquema y acceso seguro.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Servicios externos</w:t>
            </w:r>
          </w:p>
        </w:tc>
        <w:tc>
          <w:tcPr>
            <w:tcW w:type="dxa" w:w="1701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PENDIENTE</w:t>
            </w:r>
          </w:p>
        </w:tc>
        <w:tc>
          <w:tcPr>
            <w:tcW w:type="dxa" w:w="481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Confirmar contratos, URLs y credenciales.</w:t>
            </w:r>
          </w:p>
        </w:tc>
      </w:tr>
      <w:tr>
        <w:trPr>
          <w:cantSplit/>
        </w:trPr>
        <w:tc>
          <w:tcPr>
            <w:tcW w:type="dxa" w:w="3118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Entorno de pruebas</w:t>
            </w:r>
          </w:p>
        </w:tc>
        <w:tc>
          <w:tcPr>
            <w:tcW w:type="dxa" w:w="1701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PENDIENTE</w:t>
            </w:r>
          </w:p>
        </w:tc>
        <w:tc>
          <w:tcPr>
            <w:tcW w:type="dxa" w:w="4819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Registrar URL, configuración y datos ficticios.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Entorno productivo</w:t>
            </w:r>
          </w:p>
        </w:tc>
        <w:tc>
          <w:tcPr>
            <w:tcW w:type="dxa" w:w="1701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PENDIENTE</w:t>
            </w:r>
          </w:p>
        </w:tc>
        <w:tc>
          <w:tcPr>
            <w:tcW w:type="dxa" w:w="481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Registrar propietario, acceso y rollback.</w:t>
            </w:r>
          </w:p>
        </w:tc>
      </w:tr>
    </w:tbl>
    <w:p/>
    <w:p>
      <w:pPr>
        <w:pStyle w:val="Heading1"/>
      </w:pPr>
      <w:r>
        <w:t>3. Contrato expuesto</w:t>
      </w:r>
    </w:p>
    <w:p>
      <w:pPr>
        <w:jc w:val="both"/>
      </w:pPr>
      <w:r>
        <w:rPr>
          <w:rFonts w:ascii="Arial" w:hAnsi="Arial"/>
          <w:b w:val="0"/>
          <w:i w:val="0"/>
          <w:color w:val="17212B"/>
          <w:sz w:val="21"/>
        </w:rPr>
        <w:t>La API debe exponer 27 endpoints /admin. La matriz de requisitos mantiene el detalle. El conjunto incluye una ruta pública de login y 26 operaciones protegidas para métricas, patrocinadores, operación, usuarios, soporte, correcciones, preguntas, funcionalidades y planes.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Grupo</w:t>
            </w:r>
          </w:p>
        </w:tc>
        <w:tc>
          <w:tcPr>
            <w:tcW w:type="dxa" w:w="5102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Rutas</w:t>
            </w:r>
          </w:p>
        </w:tc>
        <w:tc>
          <w:tcPr>
            <w:tcW w:type="dxa" w:w="2268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Rol de referencia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Autenticación</w:t>
            </w:r>
          </w:p>
        </w:tc>
        <w:tc>
          <w:tcPr>
            <w:tcW w:type="dxa" w:w="510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POST /admin/auth/login</w:t>
            </w:r>
          </w:p>
        </w:tc>
        <w:tc>
          <w:tcPr>
            <w:tcW w:type="dxa" w:w="22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Pública, consola admin</w:t>
            </w:r>
          </w:p>
        </w:tc>
      </w:tr>
      <w:tr>
        <w:trPr>
          <w:cantSplit/>
        </w:trPr>
        <w:tc>
          <w:tcPr>
            <w:tcW w:type="dxa" w:w="2268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Métricas</w:t>
            </w:r>
          </w:p>
        </w:tc>
        <w:tc>
          <w:tcPr>
            <w:tcW w:type="dxa" w:w="5102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GET /admin/metrics/overview y /commercial</w:t>
            </w:r>
          </w:p>
        </w:tc>
        <w:tc>
          <w:tcPr>
            <w:tcW w:type="dxa" w:w="2268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admin; finance según contrato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Patrocinadores</w:t>
            </w:r>
          </w:p>
        </w:tc>
        <w:tc>
          <w:tcPr>
            <w:tcW w:type="dxa" w:w="510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GET/POST/PATCH/DELETE /admin/sponsors</w:t>
            </w:r>
          </w:p>
        </w:tc>
        <w:tc>
          <w:tcPr>
            <w:tcW w:type="dxa" w:w="22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admin</w:t>
            </w:r>
          </w:p>
        </w:tc>
      </w:tr>
      <w:tr>
        <w:trPr>
          <w:cantSplit/>
        </w:trPr>
        <w:tc>
          <w:tcPr>
            <w:tcW w:type="dxa" w:w="2268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Operación</w:t>
            </w:r>
          </w:p>
        </w:tc>
        <w:tc>
          <w:tcPr>
            <w:tcW w:type="dxa" w:w="5102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GET platforms/services/containers; POST restart</w:t>
            </w:r>
          </w:p>
        </w:tc>
        <w:tc>
          <w:tcPr>
            <w:tcW w:type="dxa" w:w="2268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ops; admin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Usuarios y soporte</w:t>
            </w:r>
          </w:p>
        </w:tc>
        <w:tc>
          <w:tcPr>
            <w:tcW w:type="dxa" w:w="510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users, tickets y corrections</w:t>
            </w:r>
          </w:p>
        </w:tc>
        <w:tc>
          <w:tcPr>
            <w:tcW w:type="dxa" w:w="22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support; admin</w:t>
            </w:r>
          </w:p>
        </w:tc>
      </w:tr>
      <w:tr>
        <w:trPr>
          <w:cantSplit/>
        </w:trPr>
        <w:tc>
          <w:tcPr>
            <w:tcW w:type="dxa" w:w="2268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Contenido</w:t>
            </w:r>
          </w:p>
        </w:tc>
        <w:tc>
          <w:tcPr>
            <w:tcW w:type="dxa" w:w="5102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questions: listar, crear, actualizar e importar</w:t>
            </w:r>
          </w:p>
        </w:tc>
        <w:tc>
          <w:tcPr>
            <w:tcW w:type="dxa" w:w="2268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admin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Catálogo</w:t>
            </w:r>
          </w:p>
        </w:tc>
        <w:tc>
          <w:tcPr>
            <w:tcW w:type="dxa" w:w="510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features y plans</w:t>
            </w:r>
          </w:p>
        </w:tc>
        <w:tc>
          <w:tcPr>
            <w:tcW w:type="dxa" w:w="22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admin</w:t>
            </w:r>
          </w:p>
        </w:tc>
      </w:tr>
    </w:tbl>
    <w:p/>
    <w:p>
      <w:pPr>
        <w:pStyle w:val="Heading1"/>
      </w:pPr>
      <w:r>
        <w:t>4. Configuración segura</w:t>
      </w:r>
    </w:p>
    <w:p>
      <w:pPr>
        <w:jc w:val="both"/>
      </w:pPr>
      <w:r>
        <w:rPr>
          <w:rFonts w:ascii="Arial" w:hAnsi="Arial"/>
          <w:b w:val="0"/>
          <w:i w:val="0"/>
          <w:color w:val="17212B"/>
          <w:sz w:val="21"/>
        </w:rPr>
        <w:t>Los nombres reales de variables se tomarán del repositorio vigente. El manual final describirá su propósito sin copiar valores sensibles. Los ejemplos utilizarán marcadores como BASE_URL, ADMIN_TOKEN, DATA_CONNECTION y EXTERNAL_SERVICE_URL.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Marcador</w:t>
            </w:r>
          </w:p>
        </w:tc>
        <w:tc>
          <w:tcPr>
            <w:tcW w:type="dxa" w:w="3969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Propósito</w:t>
            </w:r>
          </w:p>
        </w:tc>
        <w:tc>
          <w:tcPr>
            <w:tcW w:type="dxa" w:w="3402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Tratamiento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BASE_URL</w:t>
            </w:r>
          </w:p>
        </w:tc>
        <w:tc>
          <w:tcPr>
            <w:tcW w:type="dxa" w:w="396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Dirección del ambiente autorizado.</w:t>
            </w:r>
          </w:p>
        </w:tc>
        <w:tc>
          <w:tcPr>
            <w:tcW w:type="dxa" w:w="340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Valor por ambiente.</w:t>
            </w:r>
          </w:p>
        </w:tc>
      </w:tr>
      <w:tr>
        <w:trPr>
          <w:cantSplit/>
        </w:trPr>
        <w:tc>
          <w:tcPr>
            <w:tcW w:type="dxa" w:w="2268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ADMIN_TOKEN</w:t>
            </w:r>
          </w:p>
        </w:tc>
        <w:tc>
          <w:tcPr>
            <w:tcW w:type="dxa" w:w="3969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Token temporal para solicitudes de prueba.</w:t>
            </w:r>
          </w:p>
        </w:tc>
        <w:tc>
          <w:tcPr>
            <w:tcW w:type="dxa" w:w="3402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Nunca guardar en documentos o Git.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DATA_CONNECTION</w:t>
            </w:r>
          </w:p>
        </w:tc>
        <w:tc>
          <w:tcPr>
            <w:tcW w:type="dxa" w:w="396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Conexión a persistencia.</w:t>
            </w:r>
          </w:p>
        </w:tc>
        <w:tc>
          <w:tcPr>
            <w:tcW w:type="dxa" w:w="340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Inyectar mediante mecanismo seguro.</w:t>
            </w:r>
          </w:p>
        </w:tc>
      </w:tr>
      <w:tr>
        <w:trPr>
          <w:cantSplit/>
        </w:trPr>
        <w:tc>
          <w:tcPr>
            <w:tcW w:type="dxa" w:w="2268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EXTERNAL_SERVICE_URL</w:t>
            </w:r>
          </w:p>
        </w:tc>
        <w:tc>
          <w:tcPr>
            <w:tcW w:type="dxa" w:w="3969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Integración operativa confirmada.</w:t>
            </w:r>
          </w:p>
        </w:tc>
        <w:tc>
          <w:tcPr>
            <w:tcW w:type="dxa" w:w="3402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Configurar solo cuando exista contrato.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LOG_LEVEL</w:t>
            </w:r>
          </w:p>
        </w:tc>
        <w:tc>
          <w:tcPr>
            <w:tcW w:type="dxa" w:w="396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Nivel de registros.</w:t>
            </w:r>
          </w:p>
        </w:tc>
        <w:tc>
          <w:tcPr>
            <w:tcW w:type="dxa" w:w="340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Evitar datos personales y secretos.</w:t>
            </w:r>
          </w:p>
        </w:tc>
      </w:tr>
    </w:tbl>
    <w:p/>
    <w:p>
      <w:pPr>
        <w:pStyle w:val="Heading1"/>
      </w:pPr>
      <w:r>
        <w:t>5. Procedimiento de ejecución pendiente</w:t>
      </w:r>
    </w:p>
    <w:p>
      <w:pPr>
        <w:pStyle w:val="ListNumber"/>
      </w:pPr>
      <w:r>
        <w:rPr>
          <w:rFonts w:ascii="Arial" w:hAnsi="Arial"/>
          <w:b w:val="0"/>
          <w:i w:val="0"/>
          <w:color w:val="17212B"/>
          <w:sz w:val="21"/>
        </w:rPr>
        <w:t>Registrar la versión del código entregado y, cuando se facilite el acceso correspondiente, la rama y el commit autorizados.</w:t>
      </w:r>
    </w:p>
    <w:p>
      <w:pPr>
        <w:pStyle w:val="ListNumber"/>
      </w:pPr>
      <w:r>
        <w:rPr>
          <w:rFonts w:ascii="Arial" w:hAnsi="Arial"/>
          <w:b w:val="0"/>
          <w:i w:val="0"/>
          <w:color w:val="17212B"/>
          <w:sz w:val="21"/>
        </w:rPr>
        <w:t>Instalar el runtime y las dependencias según el manifiesto comprobado.</w:t>
      </w:r>
    </w:p>
    <w:p>
      <w:pPr>
        <w:pStyle w:val="ListNumber"/>
      </w:pPr>
      <w:r>
        <w:rPr>
          <w:rFonts w:ascii="Arial" w:hAnsi="Arial"/>
          <w:b w:val="0"/>
          <w:i w:val="0"/>
          <w:color w:val="17212B"/>
          <w:sz w:val="21"/>
        </w:rPr>
        <w:t>Crear la configuración local desde una plantilla sin secretos.</w:t>
      </w:r>
    </w:p>
    <w:p>
      <w:pPr>
        <w:pStyle w:val="ListNumber"/>
      </w:pPr>
      <w:r>
        <w:rPr>
          <w:rFonts w:ascii="Arial" w:hAnsi="Arial"/>
          <w:b w:val="0"/>
          <w:i w:val="0"/>
          <w:color w:val="17212B"/>
          <w:sz w:val="21"/>
        </w:rPr>
        <w:t>Conectar un origen de datos de prueba autorizado.</w:t>
      </w:r>
    </w:p>
    <w:p>
      <w:pPr>
        <w:pStyle w:val="ListNumber"/>
      </w:pPr>
      <w:r>
        <w:rPr>
          <w:rFonts w:ascii="Arial" w:hAnsi="Arial"/>
          <w:b w:val="0"/>
          <w:i w:val="0"/>
          <w:color w:val="17212B"/>
          <w:sz w:val="21"/>
        </w:rPr>
        <w:t>Ejecutar build o validación estática con el comando vigente.</w:t>
      </w:r>
    </w:p>
    <w:p>
      <w:pPr>
        <w:pStyle w:val="ListNumber"/>
      </w:pPr>
      <w:r>
        <w:rPr>
          <w:rFonts w:ascii="Arial" w:hAnsi="Arial"/>
          <w:b w:val="0"/>
          <w:i w:val="0"/>
          <w:color w:val="17212B"/>
          <w:sz w:val="21"/>
        </w:rPr>
        <w:t>Iniciar la API y comprobar el endpoint o mecanismo de salud disponible.</w:t>
      </w:r>
    </w:p>
    <w:p>
      <w:pPr>
        <w:pStyle w:val="ListNumber"/>
      </w:pPr>
      <w:r>
        <w:rPr>
          <w:rFonts w:ascii="Arial" w:hAnsi="Arial"/>
          <w:b w:val="0"/>
          <w:i w:val="0"/>
          <w:color w:val="17212B"/>
          <w:sz w:val="21"/>
        </w:rPr>
        <w:t>Ejecutar pruebas unitarias, de contrato e integración.</w:t>
      </w:r>
    </w:p>
    <w:p>
      <w:pPr>
        <w:pStyle w:val="ListNumber"/>
      </w:pPr>
      <w:r>
        <w:rPr>
          <w:rFonts w:ascii="Arial" w:hAnsi="Arial"/>
          <w:b w:val="0"/>
          <w:i w:val="0"/>
          <w:color w:val="17212B"/>
          <w:sz w:val="21"/>
        </w:rPr>
        <w:t>Registrar comandos, versiones y resultados reales en este manual.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929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POR COMPLETAR</w:t>
            </w:r>
          </w:p>
        </w:tc>
        <w:tc>
          <w:tcPr>
            <w:tcW w:type="dxa" w:w="4929"/>
            <w:shd w:fill="FFF2C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17212B"/>
                <w:sz w:val="18"/>
              </w:rPr>
              <w:t>Comando de instalación: [pendiente de repositorio] · Comando de inicio: [pendiente] · Comando de pruebas: [pendiente] · Puerto: [pendiente].</w:t>
            </w:r>
          </w:p>
        </w:tc>
      </w:tr>
    </w:tbl>
    <w:p/>
    <w:p>
      <w:pPr>
        <w:pStyle w:val="Heading1"/>
      </w:pPr>
      <w:r>
        <w:t>6. Ejemplos de solicitud</w:t>
      </w:r>
    </w:p>
    <w:p>
      <w:pPr>
        <w:jc w:val="both"/>
      </w:pPr>
      <w:r>
        <w:rPr>
          <w:rFonts w:ascii="Arial" w:hAnsi="Arial"/>
          <w:b w:val="0"/>
          <w:i w:val="0"/>
          <w:color w:val="17212B"/>
          <w:sz w:val="21"/>
        </w:rPr>
        <w:t>Los siguientes ejemplos son plantillas conceptuales. Los payloads definitivos se copiarán del contrato o de la versión vigente y se probarán con datos ficticios.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814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Escenario</w:t>
            </w:r>
          </w:p>
        </w:tc>
        <w:tc>
          <w:tcPr>
            <w:tcW w:type="dxa" w:w="7824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Plantilla conceptual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Login</w:t>
            </w:r>
          </w:p>
        </w:tc>
        <w:tc>
          <w:tcPr>
            <w:tcW w:type="dxa" w:w="78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POST {BASE_URL}/admin/auth/login</w:t>
              <w:br/>
              <w:t>Content-Type: application/json</w:t>
              <w:br/>
              <w:br/>
              <w:t>{ credenciales_ficticias_segun_contrato }</w:t>
            </w:r>
          </w:p>
        </w:tc>
      </w:tr>
      <w:tr>
        <w:trPr>
          <w:cantSplit/>
        </w:trPr>
        <w:tc>
          <w:tcPr>
            <w:tcW w:type="dxa" w:w="1814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Ruta protegida</w:t>
            </w:r>
          </w:p>
        </w:tc>
        <w:tc>
          <w:tcPr>
            <w:tcW w:type="dxa" w:w="7824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GET {BASE_URL}/admin/metrics/overview</w:t>
              <w:br/>
              <w:t>Authorization: Bearer {ADMIN_TOKEN}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Caso negativo</w:t>
            </w:r>
          </w:p>
        </w:tc>
        <w:tc>
          <w:tcPr>
            <w:tcW w:type="dxa" w:w="78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GET {BASE_URL}/admin/users</w:t>
              <w:br/>
              <w:t>Authorization: Bearer {TOKEN_SIN_ROL}</w:t>
              <w:br/>
              <w:t>Resultado esperado: 403 según contrato</w:t>
            </w:r>
          </w:p>
        </w:tc>
      </w:tr>
    </w:tbl>
    <w:p/>
    <w:p>
      <w:pPr>
        <w:pStyle w:val="Heading1"/>
      </w:pPr>
      <w:r>
        <w:t>7. Pruebas y diagnóstico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Situación</w:t>
            </w:r>
          </w:p>
        </w:tc>
        <w:tc>
          <w:tcPr>
            <w:tcW w:type="dxa" w:w="7370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Comprobación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401</w:t>
            </w:r>
          </w:p>
        </w:tc>
        <w:tc>
          <w:tcPr>
            <w:tcW w:type="dxa" w:w="737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Token ausente, inválido o expirado; revisar sin exponerlo.</w:t>
            </w:r>
          </w:p>
        </w:tc>
      </w:tr>
      <w:tr>
        <w:trPr>
          <w:cantSplit/>
        </w:trPr>
        <w:tc>
          <w:tcPr>
            <w:tcW w:type="dxa" w:w="2268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403</w:t>
            </w:r>
          </w:p>
        </w:tc>
        <w:tc>
          <w:tcPr>
            <w:tcW w:type="dxa" w:w="7370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Rol insuficiente para la ruta y operación.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400</w:t>
            </w:r>
          </w:p>
        </w:tc>
        <w:tc>
          <w:tcPr>
            <w:tcW w:type="dxa" w:w="737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Path, query, body, tipos y reglas de validación.</w:t>
            </w:r>
          </w:p>
        </w:tc>
      </w:tr>
      <w:tr>
        <w:trPr>
          <w:cantSplit/>
        </w:trPr>
        <w:tc>
          <w:tcPr>
            <w:tcW w:type="dxa" w:w="2268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Fallo de datos</w:t>
            </w:r>
          </w:p>
        </w:tc>
        <w:tc>
          <w:tcPr>
            <w:tcW w:type="dxa" w:w="7370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Disponibilidad, permisos, migraciones y adaptador.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Fallo externo</w:t>
            </w:r>
          </w:p>
        </w:tc>
        <w:tc>
          <w:tcPr>
            <w:tcW w:type="dxa" w:w="737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Contrato, timeout, credenciales y respuesta controlada.</w:t>
            </w:r>
          </w:p>
        </w:tc>
      </w:tr>
      <w:tr>
        <w:trPr>
          <w:cantSplit/>
        </w:trPr>
        <w:tc>
          <w:tcPr>
            <w:tcW w:type="dxa" w:w="2268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Fallo de despliegue</w:t>
            </w:r>
          </w:p>
        </w:tc>
        <w:tc>
          <w:tcPr>
            <w:tcW w:type="dxa" w:w="7370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Configuración, salud, registros y procedimiento de rollback.</w:t>
            </w:r>
          </w:p>
        </w:tc>
      </w:tr>
    </w:tbl>
    <w:p/>
    <w:p>
      <w:pPr>
        <w:pStyle w:val="Heading1"/>
      </w:pPr>
      <w:r>
        <w:t>8. Despliegue y rollback</w:t>
      </w:r>
    </w:p>
    <w:p>
      <w:pPr>
        <w:jc w:val="both"/>
      </w:pPr>
      <w:r>
        <w:rPr>
          <w:rFonts w:ascii="Arial" w:hAnsi="Arial"/>
          <w:b w:val="0"/>
          <w:i w:val="0"/>
          <w:color w:val="17212B"/>
          <w:sz w:val="21"/>
        </w:rPr>
        <w:t>El manual final documentará build, artefacto, configuración, migración, despliegue, smoke test, observabilidad y rollback. No se asigna Docker, una nube ni un proveedor concreto. El criterio es que el procedimiento sea repetible y que la recuperación haya sido ensayada con la versión vigente.</w:t>
      </w:r>
    </w:p>
    <w:p>
      <w:pPr>
        <w:keepNext/>
        <w:spacing w:line="240" w:lineRule="auto"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217920" cy="5043424"/>
            <wp:docPr id="2" name="05_Despliegue_Objetivo.svg" descr="05_Despliegue_Objetivo. Diseño propuesto de Fase 1. SVG vectorial incrusta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043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jc w:val="center"/>
      </w:pPr>
      <w:r>
        <w:rPr>
          <w:rFonts w:ascii="Arial" w:hAnsi="Arial"/>
          <w:b w:val="0"/>
          <w:i/>
          <w:color w:val="5B6573"/>
          <w:sz w:val="18"/>
        </w:rPr>
        <w:t>Figura 1. Despliegue propuesto con Node.js y Express en pruebas y producción. Sin proveedor confirmado ni despliegue ejecutado.</w:t>
      </w:r>
    </w:p>
    <w:p>
      <w:pPr>
        <w:pStyle w:val="Heading1"/>
      </w:pPr>
      <w:r>
        <w:t>9. Registro de completitud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6803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Sección</w:t>
            </w:r>
          </w:p>
        </w:tc>
        <w:tc>
          <w:tcPr>
            <w:tcW w:type="dxa" w:w="2835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Estado</w:t>
            </w:r>
          </w:p>
        </w:tc>
      </w:tr>
      <w:tr>
        <w:trPr>
          <w:cantSplit/>
        </w:trPr>
        <w:tc>
          <w:tcPr>
            <w:tcW w:type="dxa" w:w="680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Contrato y alcance</w:t>
            </w:r>
          </w:p>
        </w:tc>
        <w:tc>
          <w:tcPr>
            <w:tcW w:type="dxa" w:w="283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ACTUALIZADO</w:t>
            </w:r>
          </w:p>
        </w:tc>
      </w:tr>
      <w:tr>
        <w:trPr>
          <w:cantSplit/>
        </w:trPr>
        <w:tc>
          <w:tcPr>
            <w:tcW w:type="dxa" w:w="6803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Requisitos previos</w:t>
            </w:r>
          </w:p>
        </w:tc>
        <w:tc>
          <w:tcPr>
            <w:tcW w:type="dxa" w:w="2835"/>
            <w:shd w:fill="FFF2CC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BLOQUEADO_POR_INSUMO</w:t>
            </w:r>
          </w:p>
        </w:tc>
      </w:tr>
      <w:tr>
        <w:trPr>
          <w:cantSplit/>
        </w:trPr>
        <w:tc>
          <w:tcPr>
            <w:tcW w:type="dxa" w:w="680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Comandos de instalación y ejecución</w:t>
            </w:r>
          </w:p>
        </w:tc>
        <w:tc>
          <w:tcPr>
            <w:tcW w:type="dxa" w:w="2835"/>
            <w:shd w:fill="FFF2CC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BLOQUEADO_POR_INSUMO</w:t>
            </w:r>
          </w:p>
        </w:tc>
      </w:tr>
      <w:tr>
        <w:trPr>
          <w:cantSplit/>
        </w:trPr>
        <w:tc>
          <w:tcPr>
            <w:tcW w:type="dxa" w:w="6803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Configuración real</w:t>
            </w:r>
          </w:p>
        </w:tc>
        <w:tc>
          <w:tcPr>
            <w:tcW w:type="dxa" w:w="2835"/>
            <w:shd w:fill="FFF2CC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BLOQUEADO_POR_INSUMO</w:t>
            </w:r>
          </w:p>
        </w:tc>
      </w:tr>
      <w:tr>
        <w:trPr>
          <w:cantSplit/>
        </w:trPr>
        <w:tc>
          <w:tcPr>
            <w:tcW w:type="dxa" w:w="680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Pruebas ejecutadas</w:t>
            </w:r>
          </w:p>
        </w:tc>
        <w:tc>
          <w:tcPr>
            <w:tcW w:type="dxa" w:w="2835"/>
            <w:shd w:fill="F2F2F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NO_EVALUADO</w:t>
            </w:r>
          </w:p>
        </w:tc>
      </w:tr>
      <w:tr>
        <w:trPr>
          <w:cantSplit/>
        </w:trPr>
        <w:tc>
          <w:tcPr>
            <w:tcW w:type="dxa" w:w="6803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Despliegue y rollback</w:t>
            </w:r>
          </w:p>
        </w:tc>
        <w:tc>
          <w:tcPr>
            <w:tcW w:type="dxa" w:w="2835"/>
            <w:shd w:fill="FFF2CC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PENDIENTE_DE_INSUMO</w:t>
            </w:r>
          </w:p>
        </w:tc>
      </w:tr>
    </w:tbl>
    <w:p/>
    <w:p>
      <w:pPr>
        <w:pStyle w:val="Heading1"/>
      </w:pPr>
      <w:r>
        <w:t>Referencias</w:t>
      </w:r>
    </w:p>
    <w:p>
      <w:pPr>
        <w:ind w:left="680" w:hanging="680"/>
      </w:pPr>
      <w:r>
        <w:rPr>
          <w:rFonts w:ascii="Arial" w:hAnsi="Arial"/>
          <w:b w:val="0"/>
          <w:i w:val="0"/>
          <w:color w:val="17212B"/>
          <w:sz w:val="18"/>
        </w:rPr>
        <w:t>Aprueba. (2026). Especificación de API del backend, versión 1.0 [Documento técnico interno].</w:t>
      </w:r>
    </w:p>
    <w:p>
      <w:pPr>
        <w:ind w:left="680" w:hanging="680"/>
      </w:pPr>
      <w:r>
        <w:rPr>
          <w:rFonts w:ascii="Arial" w:hAnsi="Arial"/>
          <w:b w:val="0"/>
          <w:i w:val="0"/>
          <w:color w:val="17212B"/>
          <w:sz w:val="18"/>
        </w:rPr>
        <w:t>Schwaber, K., &amp; Sutherland, J. (2020). La guía de Scrum. https://scrumguides.org/docs/scrumguide/v2020/2020-Scrum-Guide-Spanish-Latin-South-American.pdf</w:t>
      </w:r>
    </w:p>
    <w:p>
      <w:pPr>
        <w:ind w:left="680" w:hanging="680"/>
      </w:pPr>
      <w:r>
        <w:rPr>
          <w:rFonts w:ascii="Arial" w:hAnsi="Arial"/>
          <w:b w:val="0"/>
          <w:i w:val="0"/>
          <w:color w:val="17212B"/>
          <w:sz w:val="18"/>
        </w:rPr>
        <w:t>National Institute of Standards and Technology. (2022). Secure software development framework (SSDF) version 1.1 (NIST SP 800-218). https://doi.org/10.6028/NIST.SP.800-218</w:t>
      </w:r>
    </w:p>
    <w:p>
      <w:pPr>
        <w:ind w:left="680" w:hanging="680"/>
      </w:pPr>
      <w:r>
        <w:rPr>
          <w:rFonts w:ascii="Arial" w:hAnsi="Arial"/>
          <w:b w:val="0"/>
          <w:i w:val="0"/>
          <w:color w:val="17212B"/>
          <w:sz w:val="18"/>
        </w:rPr>
        <w:t>OWASP Foundation. (2025). OWASP application security verification standard 5.0.0. https://owasp.org/www-project-application-security-verification-standard/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91" w:bottom="964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B6573"/>
        <w:sz w:val="17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color w:val="17365D"/>
        <w:sz w:val="17"/>
      </w:rPr>
      <w:t>APRUEBA ADMINISTRACIÓN  |  FASE 1  |  SOLO BACKEND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diagrama_05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