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74720" cy="7778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pru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7778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Dossier de ingeniería de software</w:t>
      </w:r>
    </w:p>
    <w:p>
      <w:pPr>
        <w:jc w:val="center"/>
      </w:pPr>
      <w:r>
        <w:rPr>
          <w:rFonts w:ascii="Arial" w:hAnsi="Arial"/>
          <w:b w:val="0"/>
          <w:i w:val="0"/>
          <w:color w:val="2F75B5"/>
          <w:sz w:val="26"/>
        </w:rPr>
        <w:t>Requisitos y arquitectura del backend administrativo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20"/>
        </w:rPr>
        <w:t>PLANIFICACIÓN DE FASE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Proyecto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Aprueba Administración Backend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Equipo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Tsung-Hao Liu · Catalina Yanara Padilla Astudillo · Felipe Antonio Rojas Riffo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Alcance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27 endpoints /admin de la sección 4 del contrato API</w:t>
            </w:r>
          </w:p>
        </w:tc>
      </w:tr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Fecha</w:t>
            </w:r>
          </w:p>
        </w:tc>
        <w:tc>
          <w:tcPr>
            <w:tcW w:type="dxa" w:w="4929"/>
            <w:shd w:fill="D9EAF7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4 de septiembre de 2026</w:t>
            </w:r>
          </w:p>
        </w:tc>
      </w:tr>
    </w:tbl>
    <w:p/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Este documento distingue requisitos confirmados, diseño propuesto, trabajo planificado y pendientes externos.</w:t>
      </w:r>
    </w:p>
    <w:p>
      <w:r>
        <w:br w:type="page"/>
      </w:r>
    </w:p>
    <w:p>
      <w:pPr>
        <w:pStyle w:val="Heading1"/>
      </w:pPr>
      <w:r>
        <w:t>1. Base funcional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La fuente de verdad funcional es Aprueba_API_Backend.docx, versión 1.0. Para este equipo se utiliza exclusivamente la sección 4, Consola de administración, y las convenciones generales necesarias para implementar respuestas, errores, autenticación, autorización, paginación y validación.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DEFINIDO POR CONTRATO</w:t>
            </w:r>
          </w:p>
        </w:tc>
        <w:tc>
          <w:tcPr>
            <w:tcW w:type="dxa" w:w="4929"/>
            <w:shd w:fill="E2F0D9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27 endpoints /admin distribuidos entre autenticación, métricas, patrocinadores, operación, usuarios, soporte, correcciones, preguntas, funcionalidades y planes.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FUERA DE ALCANCE</w:t>
            </w:r>
          </w:p>
        </w:tc>
        <w:tc>
          <w:tcPr>
            <w:tcW w:type="dxa" w:w="4929"/>
            <w:shd w:fill="F2F2F2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Aplicación del alumno, sitio web del alumno, generador y frontend completo, salvo datos estrictamente necesarios para las operaciones administrativas.</w:t>
            </w:r>
          </w:p>
        </w:tc>
      </w:tr>
    </w:tbl>
    <w:p/>
    <w:p>
      <w:pPr>
        <w:pStyle w:val="Heading1"/>
      </w:pPr>
      <w:r>
        <w:t>2. Catálogo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381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Módulo</w:t>
            </w:r>
          </w:p>
        </w:tc>
        <w:tc>
          <w:tcPr>
            <w:tcW w:type="dxa" w:w="1247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Endpoints</w:t>
            </w:r>
          </w:p>
        </w:tc>
        <w:tc>
          <w:tcPr>
            <w:tcW w:type="dxa" w:w="600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Capacidad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Autenticación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1</w:t>
            </w:r>
          </w:p>
        </w:tc>
        <w:tc>
          <w:tcPr>
            <w:tcW w:type="dxa" w:w="600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Inicio de sesión administrativo.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Métricas</w:t>
            </w:r>
          </w:p>
        </w:tc>
        <w:tc>
          <w:tcPr>
            <w:tcW w:type="dxa" w:w="1247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2</w:t>
            </w:r>
          </w:p>
        </w:tc>
        <w:tc>
          <w:tcPr>
            <w:tcW w:type="dxa" w:w="600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Resumen general y comercial.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Patrocinadores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600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Listar, crear, actualizar y eliminar.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Operación</w:t>
            </w:r>
          </w:p>
        </w:tc>
        <w:tc>
          <w:tcPr>
            <w:tcW w:type="dxa" w:w="1247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600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Plataformas, servicios, contenedores y reinicio.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Usuarios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3</w:t>
            </w:r>
          </w:p>
        </w:tc>
        <w:tc>
          <w:tcPr>
            <w:tcW w:type="dxa" w:w="600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Listar, consultar y actualizar.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Soporte y correcciones</w:t>
            </w:r>
          </w:p>
        </w:tc>
        <w:tc>
          <w:tcPr>
            <w:tcW w:type="dxa" w:w="1247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600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Listar y resolver tickets y solicitudes.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Preguntas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600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Listar, crear, actualizar e importar.</w:t>
            </w:r>
          </w:p>
        </w:tc>
      </w:tr>
      <w:tr>
        <w:trPr>
          <w:cantSplit/>
        </w:trPr>
        <w:tc>
          <w:tcPr>
            <w:tcW w:type="dxa" w:w="2381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Funcionalidades</w:t>
            </w:r>
          </w:p>
        </w:tc>
        <w:tc>
          <w:tcPr>
            <w:tcW w:type="dxa" w:w="1247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1</w:t>
            </w:r>
          </w:p>
        </w:tc>
        <w:tc>
          <w:tcPr>
            <w:tcW w:type="dxa" w:w="600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Consultar catálogo configurable.</w:t>
            </w:r>
          </w:p>
        </w:tc>
      </w:tr>
      <w:tr>
        <w:trPr>
          <w:cantSplit/>
        </w:trPr>
        <w:tc>
          <w:tcPr>
            <w:tcW w:type="dxa" w:w="2381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Planes</w:t>
            </w:r>
          </w:p>
        </w:tc>
        <w:tc>
          <w:tcPr>
            <w:tcW w:type="dxa" w:w="1247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</w:t>
            </w:r>
          </w:p>
        </w:tc>
        <w:tc>
          <w:tcPr>
            <w:tcW w:type="dxa" w:w="600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Listar, crear, actualizar y eliminar.</w:t>
            </w:r>
          </w:p>
        </w:tc>
      </w:tr>
    </w:tbl>
    <w:p/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El detalle de método, ruta, rol, requisito, historia, sprint, caso de prueba y evidencia se mantiene en 03_Requisitos_Historias_y_Trazabilidad.xlsx. La matriz contiene exactamente 27 filas API-001 a API-027.</w:t>
      </w:r>
    </w:p>
    <w:p>
      <w:pPr>
        <w:pStyle w:val="Heading1"/>
      </w:pPr>
      <w:r>
        <w:t>3. Principios de arquitectura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Diseño orientado al contrato: la interfaz pública se deriva de la especificación, no del código antiguo.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Separación de responsabilidades entre transporte HTTP, identidad, aplicación, dominio, persistencia e integraciones.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Dependencias externas aisladas mediante interfaces y adaptadores.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Configuración y secretos fuera del código y de la documentación académica.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Trazabilidad entre requisito, historia, endpoint, prueba, sprint y evidencia.</w:t>
      </w:r>
    </w:p>
    <w:p>
      <w:pPr>
        <w:pStyle w:val="ListBullet"/>
      </w:pPr>
      <w:r>
        <w:rPr>
          <w:rFonts w:ascii="Arial" w:hAnsi="Arial"/>
          <w:b w:val="0"/>
          <w:i w:val="0"/>
          <w:color w:val="17212B"/>
          <w:sz w:val="21"/>
        </w:rPr>
        <w:t>Observabilidad y auditoría como capacidades planificadas desde el diseño.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texto_Aprueba_Administr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Figura 1. Contexto y límite del backend administrativo.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mponentes_Aprueba_Administrac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Figura 2. Componentes lógicos y adaptadores neutrales.</w:t>
      </w:r>
    </w:p>
    <w:p>
      <w:pPr>
        <w:pStyle w:val="Heading1"/>
      </w:pPr>
      <w:r>
        <w:t>4. Interacciones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El cliente administrativo envía una solicitud HTTPS. El controlador interpreta la entrada; la capa de identidad verifica credenciales y rol; la validación comprueba path, query y body; el servicio de aplicación ejecuta el caso de uso y utiliza adaptadores para datos o servicios externos. La respuesta sigue la estructura general del contrato y registra la acción cuando corresponde.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Secuencia_Princip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Figura 3. Secuencia principal y camino negativo.</w:t>
      </w:r>
    </w:p>
    <w:p>
      <w:pPr>
        <w:pStyle w:val="Heading1"/>
      </w:pPr>
      <w:r>
        <w:t>5. Modelo lógico de datos</w:t>
      </w:r>
    </w:p>
    <w:p>
      <w:pPr>
        <w:jc w:val="both"/>
      </w:pPr>
      <w:r>
        <w:rPr>
          <w:rFonts w:ascii="Arial" w:hAnsi="Arial"/>
          <w:b w:val="0"/>
          <w:i w:val="0"/>
          <w:color w:val="17212B"/>
          <w:sz w:val="21"/>
        </w:rPr>
        <w:t>El diseño identifica entidades necesarias para las operaciones administrativas, pero no fija colecciones, tablas, índices, relaciones físicas ni tipos finales. Esas decisiones requieren la base de datos vigente y sus credenciales. De esta forma se evita repetir la inconsistencia de la V2, que trataba una tecnología concreta como si estuviera confirmada.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delo_Logico_Datos_Backen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Figura 4. Modelo lógico independiente de la tecnología física.</w:t>
      </w:r>
    </w:p>
    <w:p>
      <w:pPr>
        <w:pStyle w:val="Heading1"/>
      </w:pPr>
      <w:r>
        <w:t>6. Seguridad, validación y errores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Control</w:t>
            </w:r>
          </w:p>
        </w:tc>
        <w:tc>
          <w:tcPr>
            <w:tcW w:type="dxa" w:w="396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Diseño esperado</w:t>
            </w:r>
          </w:p>
        </w:tc>
        <w:tc>
          <w:tcPr>
            <w:tcW w:type="dxa" w:w="3969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Verificación futura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Autenticación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Login administrativo y emisión de token según contrato.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Caso positivo y credenciales inválidas.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Autorización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Rutas protegidas y roles admin, finance, ops y support.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401 sin autenticación y 403 sin privilegio.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Validación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Path, query y body antes de ejecutar la operación.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Campos, tipos, rangos y reglas inválidas.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Errores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Respuesta coherente con códigos y estructura del contrato.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 sobre escenarios positivos y negativos.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Paginación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Límites y metadatos uniformes en listados.</w:t>
            </w:r>
          </w:p>
        </w:tc>
        <w:tc>
          <w:tcPr>
            <w:tcW w:type="dxa" w:w="3969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Valores límite y navegación.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Auditoría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Actor, recurso, acción, fecha y resultado en operaciones sensibles.</w:t>
            </w:r>
          </w:p>
        </w:tc>
        <w:tc>
          <w:tcPr>
            <w:tcW w:type="dxa" w:w="3969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Trazabilidad de eventos autorizados.</w:t>
            </w:r>
          </w:p>
        </w:tc>
      </w:tr>
    </w:tbl>
    <w:p/>
    <w:p>
      <w:pPr>
        <w:pStyle w:val="Heading1"/>
      </w:pPr>
      <w:r>
        <w:t>7. Despliegue objetivo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spliegue_Objetiv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 w:val="0"/>
          <w:i/>
          <w:color w:val="5B6573"/>
          <w:sz w:val="18"/>
        </w:rPr>
        <w:t>Figura 5. Topología objetivo independiente del proveedor.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6803"/>
      </w:tblGrid>
      <w:tr>
        <w:tc>
          <w:tcPr>
            <w:tcW w:type="dxa" w:w="4929"/>
            <w:shd w:fill="17365D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PENDIENTE DE INSUMO</w:t>
            </w:r>
          </w:p>
        </w:tc>
        <w:tc>
          <w:tcPr>
            <w:tcW w:type="dxa" w:w="4929"/>
            <w:shd w:fill="FFF2CC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17212B"/>
                <w:sz w:val="18"/>
              </w:rPr>
              <w:t>El lenguaje, framework, controlador de datos, pipeline, empaquetado y plataforma de despliegue se documentarán después de recibir el repositorio y los ambientes vigentes.</w:t>
            </w:r>
          </w:p>
        </w:tc>
      </w:tr>
    </w:tbl>
    <w:p/>
    <w:p>
      <w:pPr>
        <w:pStyle w:val="Heading1"/>
      </w:pPr>
      <w:r>
        <w:t>8. Decisiones y pendientes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81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5783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Decisión de Fase 1</w:t>
            </w:r>
          </w:p>
        </w:tc>
        <w:tc>
          <w:tcPr>
            <w:tcW w:type="dxa" w:w="2154"/>
            <w:shd w:fill="17365D"/>
            <w:vAlign w:val="center"/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Contrato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Utilizar los 27 endpoints de la sección 4.</w:t>
            </w:r>
          </w:p>
        </w:tc>
        <w:tc>
          <w:tcPr>
            <w:tcW w:type="dxa" w:w="215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CONFIRMADO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Arquitectura</w:t>
            </w:r>
          </w:p>
        </w:tc>
        <w:tc>
          <w:tcPr>
            <w:tcW w:type="dxa" w:w="578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Mantener capas y adaptadores neutrales.</w:t>
            </w:r>
          </w:p>
        </w:tc>
        <w:tc>
          <w:tcPr>
            <w:tcW w:type="dxa" w:w="215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DECISIÓN DEL EQUIPO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Persistencia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Definir modelo lógico; validar modelo físico al recibir la base.</w:t>
            </w:r>
          </w:p>
        </w:tc>
        <w:tc>
          <w:tcPr>
            <w:tcW w:type="dxa" w:w="2154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PENDIENTE_DE_INSUMO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Servicios</w:t>
            </w:r>
          </w:p>
        </w:tc>
        <w:tc>
          <w:tcPr>
            <w:tcW w:type="dxa" w:w="578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Conservar interfaces y dobles de prueba hasta confirmación.</w:t>
            </w:r>
          </w:p>
        </w:tc>
        <w:tc>
          <w:tcPr>
            <w:tcW w:type="dxa" w:w="2154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PENDIENTE_DE_INSUMO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Cliente visual</w:t>
            </w:r>
          </w:p>
        </w:tc>
        <w:tc>
          <w:tcPr>
            <w:tcW w:type="dxa" w:w="5783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Usar solo si facilita la demostración.</w:t>
            </w:r>
          </w:p>
        </w:tc>
        <w:tc>
          <w:tcPr>
            <w:tcW w:type="dxa" w:w="2154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INTERFAZ AUXILIAR</w:t>
            </w:r>
          </w:p>
        </w:tc>
      </w:tr>
      <w:tr>
        <w:trPr>
          <w:cantSplit/>
        </w:trPr>
        <w:tc>
          <w:tcPr>
            <w:tcW w:type="dxa" w:w="1814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Despliegue</w:t>
            </w:r>
          </w:p>
        </w:tc>
        <w:tc>
          <w:tcPr>
            <w:tcW w:type="dxa" w:w="5783"/>
            <w:shd w:fill="EDF4FA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Definir capacidades antes de elegir herramienta o proveedor.</w:t>
            </w:r>
          </w:p>
        </w:tc>
        <w:tc>
          <w:tcPr>
            <w:tcW w:type="dxa" w:w="2154"/>
            <w:shd w:fill="FFF2CC"/>
            <w:tcMar>
              <w:top w:w="70" w:type="dxa"/>
              <w:start w:w="100" w:type="dxa"/>
              <w:bottom w:w="70" w:type="dxa"/>
              <w:end w:w="10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7212B"/>
                <w:sz w:val="17"/>
              </w:rPr>
              <w:t>PENDIENTE_DE_INSUMO</w:t>
            </w:r>
          </w:p>
        </w:tc>
      </w:tr>
    </w:tbl>
    <w:p/>
    <w:p>
      <w:pPr>
        <w:pStyle w:val="Heading1"/>
      </w:pPr>
      <w:r>
        <w:t>Referencias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Aprueba. (2026). Especificación de API del backend, versión 1.0 [Documento técnico interno].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Schwaber, K., &amp; Sutherland, J. (2020). La guía de Scrum. https://scrumguides.org/docs/scrumguide/v2020/2020-Scrum-Guide-Spanish-Latin-South-American.pdf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National Institute of Standards and Technology. (2022). Secure software development framework (SSDF) version 1.1 (NIST SP 800-218). https://doi.org/10.6028/NIST.SP.800-218</w:t>
      </w:r>
    </w:p>
    <w:p>
      <w:pPr>
        <w:ind w:left="680" w:hanging="680"/>
      </w:pPr>
      <w:r>
        <w:rPr>
          <w:rFonts w:ascii="Arial" w:hAnsi="Arial"/>
          <w:b w:val="0"/>
          <w:i w:val="0"/>
          <w:color w:val="17212B"/>
          <w:sz w:val="18"/>
        </w:rPr>
        <w:t>OWASP Foundation. (2025). OWASP application security verification standard 5.0.0. https://owasp.org/www-project-application-security-verification-standard/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B6573"/>
        <w:sz w:val="17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17365D"/>
        <w:sz w:val="17"/>
      </w:rPr>
      <w:t>APRUEBA ADMINISTRACIÓN  |  FASE 1  |  SOLO BACKEND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