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777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prueb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77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Estrategia de calidad, seguridad y despliegue</w:t>
      </w:r>
    </w:p>
    <w:p>
      <w:pPr>
        <w:jc w:val="center"/>
      </w:pPr>
      <w:r>
        <w:rPr>
          <w:rFonts w:ascii="Arial" w:hAnsi="Arial"/>
          <w:b w:val="0"/>
          <w:i w:val="0"/>
          <w:color w:val="2F75B5"/>
          <w:sz w:val="26"/>
        </w:rPr>
        <w:t>Plan de verificación para los 27 endpoints administrativos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20"/>
        </w:rPr>
        <w:t>PLANIFICACIÓN DE FASE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Proyecto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Aprueba Administración Backend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Equipo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Tsung-Hao Liu · Catalina Yanara Padilla Astudillo · Felipe Antonio Rojas Riffo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Alcance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27 endpoints /admin de la sección 4 del contrato API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4 de septiembre de 2026</w:t>
            </w:r>
          </w:p>
        </w:tc>
      </w:tr>
    </w:tbl>
    <w:p/>
    <w:p>
      <w:pPr>
        <w:jc w:val="center"/>
      </w:pPr>
      <w:r>
        <w:rPr>
          <w:rFonts w:ascii="Arial" w:hAnsi="Arial"/>
          <w:b w:val="0"/>
          <w:i/>
          <w:color w:val="5B6573"/>
          <w:sz w:val="18"/>
        </w:rPr>
        <w:t>Este documento distingue requisitos confirmados, diseño propuesto, trabajo planificado y pendientes externos.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Definir controles que permitan demostrar que el backend cumple el contrato funcional, restringe operaciones según el rol, valida entradas, protege secretos, mantiene trazabilidad y puede desplegarse y recuperarse de forma controlada. En Fase 1 estos controles se planifican; los resultados se registrarán al recibir y ejecutar la versión vigente.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PLANIFICADO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39 casos de prueba base: 27 positivos y 12 negativos o transversales, además de pruebas unitarias, de contrato, integración, autorización, regresión y humo.</w:t>
            </w:r>
          </w:p>
        </w:tc>
      </w:tr>
    </w:tbl>
    <w:p/>
    <w:p>
      <w:pPr>
        <w:pStyle w:val="Heading1"/>
      </w:pPr>
      <w:r>
        <w:t>2. Niveles y alcance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Nivel</w:t>
            </w:r>
          </w:p>
        </w:tc>
        <w:tc>
          <w:tcPr>
            <w:tcW w:type="dxa" w:w="4082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Propósito</w:t>
            </w:r>
          </w:p>
        </w:tc>
        <w:tc>
          <w:tcPr>
            <w:tcW w:type="dxa" w:w="192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Cadencia</w:t>
            </w:r>
          </w:p>
        </w:tc>
        <w:tc>
          <w:tcPr>
            <w:tcW w:type="dxa" w:w="226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Dependencia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Unitario</w:t>
            </w:r>
          </w:p>
        </w:tc>
        <w:tc>
          <w:tcPr>
            <w:tcW w:type="dxa" w:w="408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Servicios, reglas y validadores aislados.</w:t>
            </w:r>
          </w:p>
        </w:tc>
        <w:tc>
          <w:tcPr>
            <w:tcW w:type="dxa" w:w="19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Cada cambio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Código vigente.</w:t>
            </w:r>
          </w:p>
        </w:tc>
      </w:tr>
      <w:tr>
        <w:trPr>
          <w:cantSplit/>
        </w:trPr>
        <w:tc>
          <w:tcPr>
            <w:tcW w:type="dxa" w:w="170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Contrato</w:t>
            </w:r>
          </w:p>
        </w:tc>
        <w:tc>
          <w:tcPr>
            <w:tcW w:type="dxa" w:w="408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Método, ruta, rol, estado y estructura de respuesta.</w:t>
            </w:r>
          </w:p>
        </w:tc>
        <w:tc>
          <w:tcPr>
            <w:tcW w:type="dxa" w:w="192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Cada endpoint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Servidor local o doble HTTP.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Integración</w:t>
            </w:r>
          </w:p>
        </w:tc>
        <w:tc>
          <w:tcPr>
            <w:tcW w:type="dxa" w:w="408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API, persistencia e integraciones reales.</w:t>
            </w:r>
          </w:p>
        </w:tc>
        <w:tc>
          <w:tcPr>
            <w:tcW w:type="dxa" w:w="19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Cada sprint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Base y servicios de prueba.</w:t>
            </w:r>
          </w:p>
        </w:tc>
      </w:tr>
      <w:tr>
        <w:trPr>
          <w:cantSplit/>
        </w:trPr>
        <w:tc>
          <w:tcPr>
            <w:tcW w:type="dxa" w:w="170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Autorización</w:t>
            </w:r>
          </w:p>
        </w:tc>
        <w:tc>
          <w:tcPr>
            <w:tcW w:type="dxa" w:w="408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JWT y permisos admin, finance, ops y support.</w:t>
            </w:r>
          </w:p>
        </w:tc>
        <w:tc>
          <w:tcPr>
            <w:tcW w:type="dxa" w:w="192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Cada ruta protegida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Tokens controlados.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Negativa</w:t>
            </w:r>
          </w:p>
        </w:tc>
        <w:tc>
          <w:tcPr>
            <w:tcW w:type="dxa" w:w="408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Entradas inválidas y reglas de negocio.</w:t>
            </w:r>
          </w:p>
        </w:tc>
        <w:tc>
          <w:tcPr>
            <w:tcW w:type="dxa" w:w="19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Cada operación con entrada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Datos diseñados.</w:t>
            </w:r>
          </w:p>
        </w:tc>
      </w:tr>
      <w:tr>
        <w:trPr>
          <w:cantSplit/>
        </w:trPr>
        <w:tc>
          <w:tcPr>
            <w:tcW w:type="dxa" w:w="170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Regresión</w:t>
            </w:r>
          </w:p>
        </w:tc>
        <w:tc>
          <w:tcPr>
            <w:tcW w:type="dxa" w:w="408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Flujos críticos y defectos corregidos.</w:t>
            </w:r>
          </w:p>
        </w:tc>
        <w:tc>
          <w:tcPr>
            <w:tcW w:type="dxa" w:w="192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Fin de sprint y release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Ambiente de pruebas.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Humo</w:t>
            </w:r>
          </w:p>
        </w:tc>
        <w:tc>
          <w:tcPr>
            <w:tcW w:type="dxa" w:w="408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Inicio, configuración y endpoints críticos.</w:t>
            </w:r>
          </w:p>
        </w:tc>
        <w:tc>
          <w:tcPr>
            <w:tcW w:type="dxa" w:w="19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Cada despliegue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Ambiente desplegado.</w:t>
            </w:r>
          </w:p>
        </w:tc>
      </w:tr>
    </w:tbl>
    <w:p/>
    <w:p>
      <w:pPr>
        <w:pStyle w:val="Heading1"/>
      </w:pPr>
      <w:r>
        <w:t>3. Pruebas negativas mínimas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Credenciales inválidas y respuesta contractual de autenticación.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Solicitud sin token o con token inválido.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Rol sin autorización suficiente y respuesta 403.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Path o identificador inexistente.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Campos obligatorios ausentes, tipos incorrectos y valores fuera de rango.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Paginación y filtros inválidos.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Conflictos o reglas de negocio incumplidas.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Importación de preguntas con formato inválido o parcialmente rechazado.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Dependencia de datos o servicio no disponible.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Operación de contenedor rechazada o no encontrada.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Límite de solicitudes o suscripciones cuando el contrato lo establezca.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Protección frente a datos sensibles en errores y registros.</w:t>
      </w:r>
    </w:p>
    <w:p>
      <w:r>
        <w:br w:type="page"/>
      </w:r>
    </w:p>
    <w:p>
      <w:pPr>
        <w:pStyle w:val="Heading1"/>
      </w:pPr>
      <w:r>
        <w:t>4. Seguridad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4762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Aplicación</w:t>
            </w:r>
          </w:p>
        </w:tc>
        <w:tc>
          <w:tcPr>
            <w:tcW w:type="dxa" w:w="3402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Evidencia prevista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Identidad</w:t>
            </w:r>
          </w:p>
        </w:tc>
        <w:tc>
          <w:tcPr>
            <w:tcW w:type="dxa" w:w="476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Credenciales solo por canal seguro y tokens con ciclo de vida definido.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Casos de login y expiración.</w:t>
            </w:r>
          </w:p>
        </w:tc>
      </w:tr>
      <w:tr>
        <w:trPr>
          <w:cantSplit/>
        </w:trPr>
        <w:tc>
          <w:tcPr>
            <w:tcW w:type="dxa" w:w="181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Autorización</w:t>
            </w:r>
          </w:p>
        </w:tc>
        <w:tc>
          <w:tcPr>
            <w:tcW w:type="dxa" w:w="476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Denegar por defecto y aplicar rol por ruta.</w:t>
            </w:r>
          </w:p>
        </w:tc>
        <w:tc>
          <w:tcPr>
            <w:tcW w:type="dxa" w:w="34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Matriz de roles y pruebas 401/403.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Validación</w:t>
            </w:r>
          </w:p>
        </w:tc>
        <w:tc>
          <w:tcPr>
            <w:tcW w:type="dxa" w:w="476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Validar antes de ejecutar lógica o persistencia.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Casos inválidos y código de error.</w:t>
            </w:r>
          </w:p>
        </w:tc>
      </w:tr>
      <w:tr>
        <w:trPr>
          <w:cantSplit/>
        </w:trPr>
        <w:tc>
          <w:tcPr>
            <w:tcW w:type="dxa" w:w="181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Secretos</w:t>
            </w:r>
          </w:p>
        </w:tc>
        <w:tc>
          <w:tcPr>
            <w:tcW w:type="dxa" w:w="476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Inyectar desde el entorno; nunca documentarlos ni versionarlos.</w:t>
            </w:r>
          </w:p>
        </w:tc>
        <w:tc>
          <w:tcPr>
            <w:tcW w:type="dxa" w:w="34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Escaneo y revisión de configuración.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Datos</w:t>
            </w:r>
          </w:p>
        </w:tc>
        <w:tc>
          <w:tcPr>
            <w:tcW w:type="dxa" w:w="476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Usar datos ficticios en pruebas y limitar exposición.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Revisión de payloads y fixtures.</w:t>
            </w:r>
          </w:p>
        </w:tc>
      </w:tr>
      <w:tr>
        <w:trPr>
          <w:cantSplit/>
        </w:trPr>
        <w:tc>
          <w:tcPr>
            <w:tcW w:type="dxa" w:w="181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Auditoría</w:t>
            </w:r>
          </w:p>
        </w:tc>
        <w:tc>
          <w:tcPr>
            <w:tcW w:type="dxa" w:w="476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Registrar operaciones administrativas sensibles.</w:t>
            </w:r>
          </w:p>
        </w:tc>
        <w:tc>
          <w:tcPr>
            <w:tcW w:type="dxa" w:w="34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Eventos trazables y sin secretos.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Dependencias</w:t>
            </w:r>
          </w:p>
        </w:tc>
        <w:tc>
          <w:tcPr>
            <w:tcW w:type="dxa" w:w="476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Revisar versiones y vulnerabilidades al recibir manifiestos.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Inventario y reporte vigente.</w:t>
            </w:r>
          </w:p>
        </w:tc>
      </w:tr>
    </w:tbl>
    <w:p/>
    <w:p>
      <w:pPr>
        <w:pStyle w:val="Heading1"/>
      </w:pPr>
      <w:r>
        <w:t>5. Gestión de defectos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Un defecto se registrará solo después de reproducirlo en la versión vigente. Cada registro debe indicar caso, versión, pasos, resultado esperado, resultado real, severidad, responsable, evidencia y estado. La hoja de defectos permanece vacía y marcada NO_EVALUADO hasta que comience la ejecución.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Gate</w:t>
            </w:r>
          </w:p>
        </w:tc>
        <w:tc>
          <w:tcPr>
            <w:tcW w:type="dxa" w:w="7370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 mínimo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Fin de sprint</w:t>
            </w:r>
          </w:p>
        </w:tc>
        <w:tc>
          <w:tcPr>
            <w:tcW w:type="dxa" w:w="73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Historias aceptadas; pruebas relevantes aprobadas; defectos críticos cerrados; trazabilidad y documentación actualizadas.</w:t>
            </w:r>
          </w:p>
        </w:tc>
      </w:tr>
      <w:tr>
        <w:trPr>
          <w:cantSplit/>
        </w:trPr>
        <w:tc>
          <w:tcPr>
            <w:tcW w:type="dxa" w:w="238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Candidato a release</w:t>
            </w:r>
          </w:p>
        </w:tc>
        <w:tc>
          <w:tcPr>
            <w:tcW w:type="dxa" w:w="7370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Contrato completo; regresión aprobada; seguridad revisada; configuración y secretos controlados; manual listo.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Producción</w:t>
            </w:r>
          </w:p>
        </w:tc>
        <w:tc>
          <w:tcPr>
            <w:tcW w:type="dxa" w:w="73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Despliegue y rollback ensayados; responsables y monitoreo definidos; aprobación registrada.</w:t>
            </w:r>
          </w:p>
        </w:tc>
      </w:tr>
      <w:tr>
        <w:trPr>
          <w:cantSplit/>
        </w:trPr>
        <w:tc>
          <w:tcPr>
            <w:tcW w:type="dxa" w:w="238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Cierre</w:t>
            </w:r>
          </w:p>
        </w:tc>
        <w:tc>
          <w:tcPr>
            <w:tcW w:type="dxa" w:w="7370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Evidencia consolidada; demo reproducible; pendientes y lecciones documentados.</w:t>
            </w:r>
          </w:p>
        </w:tc>
      </w:tr>
    </w:tbl>
    <w:p/>
    <w:p>
      <w:pPr>
        <w:pStyle w:val="Heading1"/>
      </w:pPr>
      <w:r>
        <w:t>6. Ambientes y automatización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Se espera disponer de entornos de desarrollo, pruebas y producción. Las herramientas de pruebas y automatización se seleccionarán a partir del repositorio vigente. La capacidad deseada incluye ejecución automática por cambio, reporte de resultados, protección de secretos y gate antes del release; no se afirma que exista actualmente un pipeline o un mecanismo de empaquetado concreto.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spliegue_Objetiv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573"/>
          <w:sz w:val="18"/>
        </w:rPr>
        <w:t>Figura 1. Despliegue objetivo; proveedor y mecanismo concreto pendientes.</w:t>
      </w:r>
    </w:p>
    <w:p>
      <w:pPr>
        <w:pStyle w:val="Heading1"/>
      </w:pPr>
      <w:r>
        <w:t>7. Evidencias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Registro de ejecución de pruebas con fecha y versión.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Reporte por endpoint y matriz de cobertura.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Registro de defectos reproducibles.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Checklist de seguridad, repositorio y secretos.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Registros de despliegue, humo, rollback y monitoreo.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Aprobación del docente o contraparte cuando corresponda.</w:t>
      </w:r>
    </w:p>
    <w:p>
      <w:pPr>
        <w:pStyle w:val="Heading1"/>
      </w:pPr>
      <w:r>
        <w:t>Referencias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Aprueba. (2026). Especificación de API del backend, versión 1.0 [Documento técnico interno].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Schwaber, K., &amp; Sutherland, J. (2020). La guía de Scrum. https://scrumguides.org/docs/scrumguide/v2020/2020-Scrum-Guide-Spanish-Latin-South-American.pdf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National Institute of Standards and Technology. (2022). Secure software development framework (SSDF) version 1.1 (NIST SP 800-218). https://doi.org/10.6028/NIST.SP.800-218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OWASP Foundation. (2025). OWASP application security verification standard 5.0.0. https://owasp.org/www-project-application-security-verification-standard/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B6573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17365D"/>
        <w:sz w:val="17"/>
      </w:rPr>
      <w:t>APRUEBA ADMINISTRACIÓN  |  FASE 1  |  SOLO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