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técnico y de ejecución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Borrador contractual del backend administrativo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BORRADOR · BLOQUEADO POR INSUMOS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Alcance del manual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Este borrador describe qué deberá contener el manual ejecutable de la API. No incluye comandos de instalación, build o despliegue como si hubieran sido probados, porque el repositorio, el lenguaje, las dependencias y los ambientes vigentes todavía no fueron entregados.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BLOQUEADO POR INSUMO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Completar comandos, versiones, variables, puertos, URLs y procedimiento de despliegue después de recibir y validar la versión vigente.</w:t>
            </w:r>
          </w:p>
        </w:tc>
      </w:tr>
    </w:tbl>
    <w:p/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11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170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 actual</w:t>
            </w:r>
          </w:p>
        </w:tc>
        <w:tc>
          <w:tcPr>
            <w:tcW w:type="dxa" w:w="481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Acción de recepción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Repositorio y commit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URL autorizada, rama y SHA.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Lenguaje y runtime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Identificar versión soportada.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Administrador de dependencias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Usar manifiesto y archivo de bloqueo vigentes, si existen.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 de datos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Recibir cuenta, esquema y acceso seguro.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 externos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Confirmar contratos, URLs y credenciales.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Entorno de pruebas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URL, configuración y datos ficticios.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Entorno productivo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propietario, acceso y rollback.</w:t>
            </w:r>
          </w:p>
        </w:tc>
      </w:tr>
    </w:tbl>
    <w:p/>
    <w:p>
      <w:pPr>
        <w:pStyle w:val="Heading1"/>
      </w:pPr>
      <w:r>
        <w:t>3. Contrato expuesto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La API debe exponer 27 endpoints /admin. La matriz de requisitos mantiene el detalle. El conjunto incluye una ruta pública de login y 26 operaciones protegidas para métricas, patrocinadores, operación, usuarios, soporte, correcciones, preguntas, funcionalidades y planes.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51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Rutas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 de referencia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Autenticación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POST /admin/auth/login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Pública, consola 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Métricas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 /admin/metrics/overview y /commercial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admin; finance según contrato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Patrocinadores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GET/POST/PATCH/DELETE /admin/sponsors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Operación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 platforms/services/containers; POST restart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ops; admin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Usuarios y soporte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users, tickets y corrections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support; 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Contenido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questions: listar, crear, actualizar e importar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Catálogo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features y plans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</w:tbl>
    <w:p/>
    <w:p>
      <w:pPr>
        <w:pStyle w:val="Heading1"/>
      </w:pPr>
      <w:r>
        <w:t>4. Configuración segura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Los nombres reales de variables se tomarán del repositorio vigente. El manual final describirá su propósito sin copiar valores sensibles. Los ejemplos utilizarán marcadores como BASE_URL, ADMIN_TOKEN, DATA_CONNECTION y EXTERNAL_SERVICE_URL.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Marcador</w:t>
            </w:r>
          </w:p>
        </w:tc>
        <w:tc>
          <w:tcPr>
            <w:tcW w:type="dxa" w:w="396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Propósito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BASE_URL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Dirección del ambiente autorizado.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Valor por ambiente.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ADMIN_TOKEN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 temporal para solicitudes de prueba.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Nunca guardar en documentos o Git.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DATA_CONNECTION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Conexión a persistencia.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Inyectar mediante mecanismo seguro.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EXTERNAL_SERVICE_URL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Integración operativa confirmada.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Configurar solo cuando exista contrato.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LOG_LEVEL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Nivel de registros.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Evitar datos personales y secretos.</w:t>
            </w:r>
          </w:p>
        </w:tc>
      </w:tr>
    </w:tbl>
    <w:p/>
    <w:p>
      <w:pPr>
        <w:pStyle w:val="Heading1"/>
      </w:pPr>
      <w:r>
        <w:t>5. Procedimiento de ejecución pendiente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Recibir el repositorio vigente y registrar rama y commit.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Instalar el runtime y las dependencias según el manifiesto comprobado.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Crear la configuración local desde una plantilla sin secretos.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Conectar un origen de datos de prueba autorizado.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Ejecutar build o validación estática con el comando vigente.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Iniciar la API y comprobar el endpoint o mecanismo de salud disponible.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Ejecutar pruebas unitarias, de contrato e integración.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Registrar comandos, versiones y resultados reales en este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 COMPLETAR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Comando de instalación: [pendiente de repositorio] · Comando de inicio: [pendiente] · Comando de pruebas: [pendiente] · Puerto: [pendiente].</w:t>
            </w:r>
          </w:p>
        </w:tc>
      </w:tr>
    </w:tbl>
    <w:p/>
    <w:p>
      <w:pPr>
        <w:pStyle w:val="Heading1"/>
      </w:pPr>
      <w:r>
        <w:t>6. Ejemplos de solicitud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Los siguientes ejemplos son plantillas conceptuales. Los payloads definitivos se copiarán del contrato o de la versión vigente y se probarán con datos ficticios.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Escenario</w:t>
            </w:r>
          </w:p>
        </w:tc>
        <w:tc>
          <w:tcPr>
            <w:tcW w:type="dxa" w:w="782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Plantilla conceptual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Login</w:t>
            </w:r>
          </w:p>
        </w:tc>
        <w:tc>
          <w:tcPr>
            <w:tcW w:type="dxa" w:w="7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POST {BASE_URL}/admin/auth/login</w:t>
              <w:br/>
              <w:t>Content-Type: application/json</w:t>
              <w:br/>
              <w:br/>
              <w:t>{ credenciales_ficticias_segun_contrato }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Ruta protegida</w:t>
            </w:r>
          </w:p>
        </w:tc>
        <w:tc>
          <w:tcPr>
            <w:tcW w:type="dxa" w:w="782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GET {BASE_URL}/admin/metrics/overview</w:t>
              <w:br/>
              <w:t>Authorization: Bearer {ADMIN_TOKEN}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Caso negativo</w:t>
            </w:r>
          </w:p>
        </w:tc>
        <w:tc>
          <w:tcPr>
            <w:tcW w:type="dxa" w:w="7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GET {BASE_URL}/admin/users</w:t>
              <w:br/>
              <w:t>Authorization: Bearer {TOKEN_SIN_ROL}</w:t>
              <w:br/>
              <w:t>Resultado esperado: 403 según contrato</w:t>
            </w:r>
          </w:p>
        </w:tc>
      </w:tr>
    </w:tbl>
    <w:p/>
    <w:p>
      <w:pPr>
        <w:pStyle w:val="Heading1"/>
      </w:pPr>
      <w:r>
        <w:t>7. Pruebas y diagnóstico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Situación</w:t>
            </w:r>
          </w:p>
        </w:tc>
        <w:tc>
          <w:tcPr>
            <w:tcW w:type="dxa" w:w="7370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Comprobación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401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 ausente, inválido o expirado; revisar sin exponerlo.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403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Rol insuficiente para la ruta y operación.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400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Path, query, body, tipos y reglas de validación.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de datos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Disponibilidad, permisos, migraciones y adaptador.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externo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Contrato, timeout, credenciales y respuesta controlada.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de despliegue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Configuración, salud, registros y procedimiento de rollback.</w:t>
            </w:r>
          </w:p>
        </w:tc>
      </w:tr>
    </w:tbl>
    <w:p/>
    <w:p>
      <w:pPr>
        <w:pStyle w:val="Heading1"/>
      </w:pPr>
      <w:r>
        <w:t>8. Despliegue y rollback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El manual final documentará build, artefacto, configuración, migración, despliegue, smoke test, observabilidad y rollback. No se asigna Docker, una nube ni un proveedor concreto. El criterio es que el procedimiento sea repetible y que la recuperación haya sido ensayada con la versión vigente.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pliegue_Obje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1. Capacidades de despliegue objetivo.</w:t>
      </w:r>
    </w:p>
    <w:p>
      <w:pPr>
        <w:pStyle w:val="Heading1"/>
      </w:pPr>
      <w:r>
        <w:t>9. Registro de completitud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6803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y alcance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ACTUALIZADO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Requisitos previos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Comandos de instalación y ejecución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Configuración real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Pruebas ejecutadas</w:t>
            </w:r>
          </w:p>
        </w:tc>
        <w:tc>
          <w:tcPr>
            <w:tcW w:type="dxa" w:w="2835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Despliegue y rollback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PENDIENTE_DE_INSUMO</w:t>
            </w:r>
          </w:p>
        </w:tc>
      </w:tr>
    </w:tbl>
    <w:p/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