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left"/>
              <w:rPr>
                <w:rFonts w:ascii="Calibri" w:hAnsi="Calibri"/>
                <w:color w:val="1F3864" w:themeColor="accent1" w:themeShade="80"/>
              </w:rPr>
            </w:pPr>
            <w:r>
              <w:rPr>
                <w:rFonts w:ascii="Calibri" w:hAnsi="Calibri"/>
                <w:color w:val="000000"/>
              </w:rPr>
              <w:t xml:space="preserve">Aprueba Administración · Grupo 8 · Tsung-Hao Liu, Catalina Padilla y Felipe Rojas. Actualización documental del 28-10-2026; evidencia técnica del 27-10-2026.</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left"/>
              <w:rPr>
                <w:rFonts w:ascii="Calibri" w:hAnsi="Calibri" w:cs="Arial"/>
                <w:i/>
                <w:color w:val="548DD4"/>
                <w:sz w:val="20"/>
                <w:szCs w:val="20"/>
                <w:lang w:eastAsia="es-CL"/>
              </w:rPr>
            </w:pPr>
            <w:r>
              <w:rPr>
                <w:rFonts w:ascii="Calibri" w:hAnsi="Calibri" w:cs="Arial"/>
                <w:sz w:val="20"/>
                <w:szCs w:val="20"/>
                <w:lang w:eastAsia="es-CL"/>
                <w:color w:val="000000"/>
              </w:rPr>
              <w:t xml:space="preserve">Integramos los tres bloques del backend sobre JavaScript, Node.js y Express. Los 27 endpoints administrativos permiten gestionar acceso, usuarios, soporte, patrocinadores, preguntas, planes, indicadores y operación. Docker ejecuta la API, el cliente React/Vite, el emulador Firestore y un laboratorio de contenedores. La regresión del 27-10 aprobó 214 pruebas, sin fallos ni omisiones, y la compilación del cliente. El avance es local y todavía requiere aceptación externa y revisión del equipo.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left"/>
              <w:rPr>
                <w:rFonts w:ascii="Calibri" w:hAnsi="Calibri" w:cs="Arial"/>
                <w:b/>
                <w:i/>
                <w:color w:val="548DD4"/>
                <w:sz w:val="20"/>
                <w:szCs w:val="20"/>
                <w:lang w:eastAsia="es-CL"/>
              </w:rPr>
            </w:pPr>
            <w:r>
              <w:rPr>
                <w:rFonts w:ascii="Calibri" w:hAnsi="Calibri" w:cs="Arial"/>
                <w:sz w:val="20"/>
                <w:szCs w:val="20"/>
                <w:lang w:eastAsia="es-CL"/>
                <w:color w:val="000000"/>
              </w:rPr>
              <w:t xml:space="preserve">Se mantiene el objetivo de implementar los 27 endpoints del contrato original. Los datos de negocio son ficticios y están almacenados en Firestore. La supervisión y el reinicio se prueban en un entorno Docker de desarrollo. Stripe se valida con una cuenta de pruebas; su aceptación externa continúa pendiente.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left"/>
              <w:rPr>
                <w:rFonts w:ascii="Calibri" w:hAnsi="Calibri" w:cs="Arial"/>
                <w:i/>
                <w:color w:val="548DD4"/>
                <w:sz w:val="20"/>
                <w:szCs w:val="20"/>
                <w:lang w:eastAsia="es-CL"/>
              </w:rPr>
            </w:pPr>
            <w:r>
              <w:rPr>
                <w:rFonts w:ascii="Calibri" w:hAnsi="Calibri" w:cs="Arial"/>
                <w:sz w:val="20"/>
                <w:szCs w:val="20"/>
                <w:lang w:eastAsia="es-CL"/>
                <w:color w:val="000000"/>
              </w:rPr>
              <w:t xml:space="preserve">Se mantiene Scrum con cinco sprints y trabajo por módulos. Los tres integrantes programan y prueban. Se integraron las ramas del equipo y se registraron resultados, defectos y cambios. La revisión de pares, las retrospectivas y la aceptación se registran cuando se realizan; no se consideran concluidas por aprobar pruebas.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left"/>
              <w:rPr>
                <w:rFonts w:ascii="Calibri" w:hAnsi="Calibri" w:cs="Arial"/>
                <w:i/>
                <w:color w:val="548DD4"/>
                <w:sz w:val="20"/>
                <w:szCs w:val="20"/>
                <w:lang w:eastAsia="es-CL"/>
              </w:rPr>
            </w:pPr>
            <w:r>
              <w:rPr>
                <w:rFonts w:ascii="Calibri" w:hAnsi="Calibri" w:cs="Arial"/>
                <w:sz w:val="20"/>
                <w:szCs w:val="20"/>
                <w:lang w:eastAsia="es-CL"/>
                <w:color w:val="000000"/>
              </w:rPr>
              <w:t xml:space="preserve">Aplicación y Docker: Fase2/Aplicacion. Pruebas y registros: Aplicacion/docs/evidencias/cierre-2026-10-27. Seis planillas: Aplicacion/docs/seguimiento. Informe 2.6: Aplicacion/docs/informe-final. Presentación y capturas: Evidencias_grupales/Presentacion. Las pruebas cubren validación, permisos, persistencia, concurrencia e integración local; 214 ejecuciones no equivalen a cobertura total. El proveedor de precios se simuló en la regresión.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left"/>
              <w:rPr>
                <w:rFonts w:ascii="Calibri" w:hAnsi="Calibri"/>
                <w:color w:val="1F3864" w:themeColor="accent1" w:themeShade="80"/>
              </w:rPr>
            </w:pPr>
            <w:r>
              <w:rPr>
                <w:rFonts w:ascii="Calibri" w:hAnsi="Calibri"/>
                <w:color w:val="000000"/>
              </w:rPr>
              <w:t xml:space="preserve">Las ventanas corresponden a la planificación de cinco sprints. Las planillas de seguimiento contienen el detalle por endpoint, responsable, pruebas y revisión. Los siguientes estados describen el avance al 27-10-2026, no un registro de horas trabajadas.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328" w:type="dxa"/>
          </w:tcPr>
          <w:p w14:paraId="29F01B29" w14:textId="77777777" w:rsidR="00FD5149" w:rsidRPr="006E3B0D" w:rsidRDefault="00FD5149" w:rsidP="00FD5149">
            <w:pPr>
              <w:jc w:val="left"/>
              <w:rPr>
                <w:b/>
                <w:sz w:val="18"/>
                <w:szCs w:val="24"/>
              </w:rPr>
            </w:pPr>
            <w:r>
              <w:rPr>
                <w:sz w:val="18"/>
                <w:szCs w:val="24"/>
                <w:color w:val="000000"/>
              </w:rPr>
              <w:t xml:space="preserve">Desarrollo de software</w:t>
            </w:r>
          </w:p>
        </w:tc>
        <w:tc>
          <w:tcPr>
            <w:tcW w:w="1077" w:type="dxa"/>
          </w:tcPr>
          <w:p w14:paraId="7B4EBE25"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S1 Acceso y catálogos</w:t>
            </w:r>
          </w:p>
        </w:tc>
        <w:tc>
          <w:tcPr>
            <w:tcW w:w="1276" w:type="dxa"/>
          </w:tcPr>
          <w:p w14:paraId="16E191DF" w14:textId="77777777" w:rsidR="00FD5149" w:rsidRPr="006E3B0D" w:rsidRDefault="00FD5149" w:rsidP="00FD5149">
            <w:pPr>
              <w:jc w:val="left"/>
              <w:rPr>
                <w:b/>
                <w:sz w:val="18"/>
                <w:szCs w:val="24"/>
              </w:rPr>
            </w:pPr>
            <w:r>
              <w:rPr>
                <w:sz w:val="18"/>
                <w:szCs w:val="24"/>
                <w:color w:val="000000"/>
              </w:rPr>
              <w:t xml:space="preserve">Express y Firestore</w:t>
            </w:r>
          </w:p>
        </w:tc>
        <w:tc>
          <w:tcPr>
            <w:tcW w:w="1276" w:type="dxa"/>
          </w:tcPr>
          <w:p w14:paraId="66A5D860" w14:textId="77777777" w:rsidR="00FD5149" w:rsidRPr="006E3B0D" w:rsidRDefault="00FD5149" w:rsidP="00FD5149">
            <w:pPr>
              <w:jc w:val="left"/>
              <w:rPr>
                <w:b/>
                <w:sz w:val="18"/>
                <w:szCs w:val="24"/>
              </w:rPr>
            </w:pPr>
            <w:r>
              <w:rPr>
                <w:sz w:val="18"/>
                <w:szCs w:val="24"/>
                <w:color w:val="000000"/>
              </w:rPr>
              <w:t xml:space="preserve">Sem. 5–6</w:t>
            </w:r>
          </w:p>
        </w:tc>
        <w:tc>
          <w:tcPr>
            <w:tcW w:w="1275" w:type="dxa"/>
          </w:tcPr>
          <w:p w14:paraId="036AB5D8"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Tsung-Hao, Catalina y Felipe</w:t>
            </w:r>
          </w:p>
        </w:tc>
        <w:tc>
          <w:tcPr>
            <w:tcW w:w="1276" w:type="dxa"/>
          </w:tcPr>
          <w:p w14:paraId="2FCEC037"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Pruebas locales aprobadas</w:t>
            </w:r>
          </w:p>
        </w:tc>
        <w:tc>
          <w:tcPr>
            <w:tcW w:w="1418" w:type="dxa"/>
          </w:tcPr>
          <w:p w14:paraId="29B0BFEB" w14:textId="77777777" w:rsidR="00FD5149" w:rsidRPr="00E54467"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En curso: falta revisión</w:t>
            </w:r>
          </w:p>
        </w:tc>
        <w:tc>
          <w:tcPr>
            <w:tcW w:w="850" w:type="dxa"/>
          </w:tcPr>
          <w:p w14:paraId="7C6D6F31"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Roles</w:t>
            </w:r>
          </w:p>
        </w:tc>
      </w:tr>
      <w:tr w:rsidR="00FD5149" w:rsidRPr="006E3B0D" w14:paraId="0D4FAAA2" w14:textId="77777777" w:rsidTr="00EA0C09">
        <w:trPr/>
        <w:tc>
          <w:tcPr>
            <w:tcW w:w="1328" w:type="dxa"/>
          </w:tcPr>
          <w:p w14:paraId="29F01B29" w14:textId="77777777" w:rsidR="00FD5149" w:rsidRPr="006E3B0D" w:rsidRDefault="00FD5149" w:rsidP="00FD5149">
            <w:pPr>
              <w:jc w:val="left"/>
              <w:rPr>
                <w:b/>
                <w:sz w:val="18"/>
                <w:szCs w:val="24"/>
              </w:rPr>
            </w:pPr>
            <w:r>
              <w:rPr>
                <w:sz w:val="18"/>
                <w:szCs w:val="24"/>
                <w:color w:val="000000"/>
              </w:rPr>
              <w:t xml:space="preserve">Software y datos</w:t>
            </w:r>
          </w:p>
        </w:tc>
        <w:tc>
          <w:tcPr>
            <w:tcW w:w="1077" w:type="dxa"/>
          </w:tcPr>
          <w:p w14:paraId="7B4EBE25"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S2 Usuarios y preguntas</w:t>
            </w:r>
          </w:p>
        </w:tc>
        <w:tc>
          <w:tcPr>
            <w:tcW w:w="1276" w:type="dxa"/>
          </w:tcPr>
          <w:p w14:paraId="16E191DF" w14:textId="77777777" w:rsidR="00FD5149" w:rsidRPr="006E3B0D" w:rsidRDefault="00FD5149" w:rsidP="00FD5149">
            <w:pPr>
              <w:jc w:val="left"/>
              <w:rPr>
                <w:b/>
                <w:sz w:val="18"/>
                <w:szCs w:val="24"/>
              </w:rPr>
            </w:pPr>
            <w:r>
              <w:rPr>
                <w:sz w:val="18"/>
                <w:szCs w:val="24"/>
                <w:color w:val="000000"/>
              </w:rPr>
              <w:t xml:space="preserve">API y pruebas</w:t>
            </w:r>
          </w:p>
        </w:tc>
        <w:tc>
          <w:tcPr>
            <w:tcW w:w="1276" w:type="dxa"/>
          </w:tcPr>
          <w:p w14:paraId="66A5D860" w14:textId="77777777" w:rsidR="00FD5149" w:rsidRPr="006E3B0D" w:rsidRDefault="00FD5149" w:rsidP="00FD5149">
            <w:pPr>
              <w:jc w:val="left"/>
              <w:rPr>
                <w:b/>
                <w:sz w:val="18"/>
                <w:szCs w:val="24"/>
              </w:rPr>
            </w:pPr>
            <w:r>
              <w:rPr>
                <w:sz w:val="18"/>
                <w:szCs w:val="24"/>
                <w:color w:val="000000"/>
              </w:rPr>
              <w:t xml:space="preserve">Sem. 7–8</w:t>
            </w:r>
          </w:p>
        </w:tc>
        <w:tc>
          <w:tcPr>
            <w:tcW w:w="1275" w:type="dxa"/>
          </w:tcPr>
          <w:p w14:paraId="036AB5D8"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Tsung-Hao, Catalina y Felipe</w:t>
            </w:r>
          </w:p>
        </w:tc>
        <w:tc>
          <w:tcPr>
            <w:tcW w:w="1276" w:type="dxa"/>
          </w:tcPr>
          <w:p w14:paraId="2FCEC037"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Reserva de correo revisada</w:t>
            </w:r>
          </w:p>
        </w:tc>
        <w:tc>
          <w:tcPr>
            <w:tcW w:w="1418" w:type="dxa"/>
          </w:tcPr>
          <w:p w14:paraId="29B0BFEB" w14:textId="77777777" w:rsidR="00FD5149" w:rsidRPr="00E54467"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En curso: falta revisión</w:t>
            </w:r>
          </w:p>
        </w:tc>
        <w:tc>
          <w:tcPr>
            <w:tcW w:w="850" w:type="dxa"/>
          </w:tcPr>
          <w:p w14:paraId="7C6D6F31"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Correo único</w:t>
            </w:r>
          </w:p>
        </w:tc>
      </w:tr>
      <w:tr w:rsidR="00FD5149" w:rsidRPr="006E3B0D" w14:paraId="0D4FAAA2" w14:textId="77777777" w:rsidTr="00EA0C09">
        <w:trPr/>
        <w:tc>
          <w:tcPr>
            <w:tcW w:w="1328" w:type="dxa"/>
          </w:tcPr>
          <w:p w14:paraId="29F01B29" w14:textId="77777777" w:rsidR="00FD5149" w:rsidRPr="006E3B0D" w:rsidRDefault="00FD5149" w:rsidP="00FD5149">
            <w:pPr>
              <w:jc w:val="left"/>
              <w:rPr>
                <w:b/>
                <w:sz w:val="18"/>
                <w:szCs w:val="24"/>
              </w:rPr>
            </w:pPr>
            <w:r>
              <w:rPr>
                <w:sz w:val="18"/>
                <w:szCs w:val="24"/>
                <w:color w:val="000000"/>
              </w:rPr>
              <w:t xml:space="preserve">Software y datos</w:t>
            </w:r>
          </w:p>
        </w:tc>
        <w:tc>
          <w:tcPr>
            <w:tcW w:w="1077" w:type="dxa"/>
          </w:tcPr>
          <w:p w14:paraId="7B4EBE25"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S3 Carga y precios</w:t>
            </w:r>
          </w:p>
        </w:tc>
        <w:tc>
          <w:tcPr>
            <w:tcW w:w="1276" w:type="dxa"/>
          </w:tcPr>
          <w:p w14:paraId="16E191DF" w14:textId="77777777" w:rsidR="00FD5149" w:rsidRPr="006E3B0D" w:rsidRDefault="00FD5149" w:rsidP="00FD5149">
            <w:pPr>
              <w:jc w:val="left"/>
              <w:rPr>
                <w:b/>
                <w:sz w:val="18"/>
                <w:szCs w:val="24"/>
              </w:rPr>
            </w:pPr>
            <w:r>
              <w:rPr>
                <w:sz w:val="18"/>
                <w:szCs w:val="24"/>
                <w:color w:val="000000"/>
              </w:rPr>
              <w:t xml:space="preserve">Firestore y Stripe test</w:t>
            </w:r>
          </w:p>
        </w:tc>
        <w:tc>
          <w:tcPr>
            <w:tcW w:w="1276" w:type="dxa"/>
          </w:tcPr>
          <w:p w14:paraId="66A5D860" w14:textId="77777777" w:rsidR="00FD5149" w:rsidRPr="006E3B0D" w:rsidRDefault="00FD5149" w:rsidP="00FD5149">
            <w:pPr>
              <w:jc w:val="left"/>
              <w:rPr>
                <w:b/>
                <w:sz w:val="18"/>
                <w:szCs w:val="24"/>
              </w:rPr>
            </w:pPr>
            <w:r>
              <w:rPr>
                <w:sz w:val="18"/>
                <w:szCs w:val="24"/>
                <w:color w:val="000000"/>
              </w:rPr>
              <w:t xml:space="preserve">Sem. 9–10</w:t>
            </w:r>
          </w:p>
        </w:tc>
        <w:tc>
          <w:tcPr>
            <w:tcW w:w="1275" w:type="dxa"/>
          </w:tcPr>
          <w:p w14:paraId="036AB5D8"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Tsung-Hao, Catalina y Felipe</w:t>
            </w:r>
          </w:p>
        </w:tc>
        <w:tc>
          <w:tcPr>
            <w:tcW w:w="1276" w:type="dxa"/>
          </w:tcPr>
          <w:p w14:paraId="2FCEC037"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Sin cuenta Stripe aceptada</w:t>
            </w:r>
          </w:p>
        </w:tc>
        <w:tc>
          <w:tcPr>
            <w:tcW w:w="1418" w:type="dxa"/>
          </w:tcPr>
          <w:p w14:paraId="29B0BFEB" w14:textId="77777777" w:rsidR="00FD5149" w:rsidRPr="00E54467"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En curso: prueba externa</w:t>
            </w:r>
          </w:p>
        </w:tc>
        <w:tc>
          <w:tcPr>
            <w:tcW w:w="850" w:type="dxa"/>
          </w:tcPr>
          <w:p w14:paraId="7C6D6F31"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Nota y draft</w:t>
            </w:r>
          </w:p>
        </w:tc>
      </w:tr>
      <w:tr w:rsidR="00FD5149" w:rsidRPr="006E3B0D" w14:paraId="0D4FAAA2" w14:textId="77777777" w:rsidTr="00EA0C09">
        <w:trPr/>
        <w:tc>
          <w:tcPr>
            <w:tcW w:w="1328" w:type="dxa"/>
          </w:tcPr>
          <w:p w14:paraId="29F01B29" w14:textId="77777777" w:rsidR="00FD5149" w:rsidRPr="006E3B0D" w:rsidRDefault="00FD5149" w:rsidP="00FD5149">
            <w:pPr>
              <w:jc w:val="left"/>
              <w:rPr>
                <w:b/>
                <w:sz w:val="18"/>
                <w:szCs w:val="24"/>
              </w:rPr>
            </w:pPr>
            <w:r>
              <w:rPr>
                <w:sz w:val="18"/>
                <w:szCs w:val="24"/>
                <w:color w:val="000000"/>
              </w:rPr>
              <w:t xml:space="preserve">Datos y operación</w:t>
            </w:r>
          </w:p>
        </w:tc>
        <w:tc>
          <w:tcPr>
            <w:tcW w:w="1077" w:type="dxa"/>
          </w:tcPr>
          <w:p w14:paraId="7B4EBE25"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S4 Métricas y salud</w:t>
            </w:r>
          </w:p>
        </w:tc>
        <w:tc>
          <w:tcPr>
            <w:tcW w:w="1276" w:type="dxa"/>
          </w:tcPr>
          <w:p w14:paraId="16E191DF" w14:textId="77777777" w:rsidR="00FD5149" w:rsidRPr="006E3B0D" w:rsidRDefault="00FD5149" w:rsidP="00FD5149">
            <w:pPr>
              <w:jc w:val="left"/>
              <w:rPr>
                <w:b/>
                <w:sz w:val="18"/>
                <w:szCs w:val="24"/>
              </w:rPr>
            </w:pPr>
            <w:r>
              <w:rPr>
                <w:sz w:val="18"/>
                <w:szCs w:val="24"/>
                <w:color w:val="000000"/>
              </w:rPr>
              <w:t xml:space="preserve">Sondas HTTP y Docker</w:t>
            </w:r>
          </w:p>
        </w:tc>
        <w:tc>
          <w:tcPr>
            <w:tcW w:w="1276" w:type="dxa"/>
          </w:tcPr>
          <w:p w14:paraId="66A5D860" w14:textId="77777777" w:rsidR="00FD5149" w:rsidRPr="006E3B0D" w:rsidRDefault="00FD5149" w:rsidP="00FD5149">
            <w:pPr>
              <w:jc w:val="left"/>
              <w:rPr>
                <w:b/>
                <w:sz w:val="18"/>
                <w:szCs w:val="24"/>
              </w:rPr>
            </w:pPr>
            <w:r>
              <w:rPr>
                <w:sz w:val="18"/>
                <w:szCs w:val="24"/>
                <w:color w:val="000000"/>
              </w:rPr>
              <w:t xml:space="preserve">Sem. 11–12</w:t>
            </w:r>
          </w:p>
        </w:tc>
        <w:tc>
          <w:tcPr>
            <w:tcW w:w="1275" w:type="dxa"/>
          </w:tcPr>
          <w:p w14:paraId="036AB5D8"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Tsung-Hao y Felipe; revisión grupal</w:t>
            </w:r>
          </w:p>
        </w:tc>
        <w:tc>
          <w:tcPr>
            <w:tcW w:w="1276" w:type="dxa"/>
          </w:tcPr>
          <w:p w14:paraId="2FCEC037"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Servicios de laboratorio</w:t>
            </w:r>
          </w:p>
        </w:tc>
        <w:tc>
          <w:tcPr>
            <w:tcW w:w="1418" w:type="dxa"/>
          </w:tcPr>
          <w:p w14:paraId="29B0BFEB" w14:textId="77777777" w:rsidR="00FD5149" w:rsidRPr="00E54467"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En curso: prueba remota</w:t>
            </w:r>
          </w:p>
        </w:tc>
        <w:tc>
          <w:tcPr>
            <w:tcW w:w="850" w:type="dxa"/>
          </w:tcPr>
          <w:p w14:paraId="7C6D6F31"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Agenda</w:t>
            </w:r>
          </w:p>
        </w:tc>
      </w:tr>
      <w:tr w:rsidR="00FD5149" w:rsidRPr="006E3B0D" w14:paraId="0D4FAAA2" w14:textId="77777777" w:rsidTr="00EA0C09">
        <w:trPr/>
        <w:tc>
          <w:tcPr>
            <w:tcW w:w="1328" w:type="dxa"/>
          </w:tcPr>
          <w:p w14:paraId="29F01B29" w14:textId="77777777" w:rsidR="00FD5149" w:rsidRPr="006E3B0D" w:rsidRDefault="00FD5149" w:rsidP="00FD5149">
            <w:pPr>
              <w:jc w:val="left"/>
              <w:rPr>
                <w:b/>
                <w:sz w:val="18"/>
                <w:szCs w:val="24"/>
              </w:rPr>
            </w:pPr>
            <w:r>
              <w:rPr>
                <w:sz w:val="18"/>
                <w:szCs w:val="24"/>
                <w:color w:val="000000"/>
              </w:rPr>
              <w:t xml:space="preserve">Calidad y entrega</w:t>
            </w:r>
          </w:p>
        </w:tc>
        <w:tc>
          <w:tcPr>
            <w:tcW w:w="1077" w:type="dxa"/>
          </w:tcPr>
          <w:p w14:paraId="7B4EBE25"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S5 Reinicio y pruebas</w:t>
            </w:r>
          </w:p>
        </w:tc>
        <w:tc>
          <w:tcPr>
            <w:tcW w:w="1276" w:type="dxa"/>
          </w:tcPr>
          <w:p w14:paraId="16E191DF" w14:textId="77777777" w:rsidR="00FD5149" w:rsidRPr="006E3B0D" w:rsidRDefault="00FD5149" w:rsidP="00FD5149">
            <w:pPr>
              <w:jc w:val="left"/>
              <w:rPr>
                <w:b/>
                <w:sz w:val="18"/>
                <w:szCs w:val="24"/>
              </w:rPr>
            </w:pPr>
            <w:r>
              <w:rPr>
                <w:sz w:val="18"/>
                <w:szCs w:val="24"/>
                <w:color w:val="000000"/>
              </w:rPr>
              <w:t xml:space="preserve">Docker, pruebas y GitHub</w:t>
            </w:r>
          </w:p>
        </w:tc>
        <w:tc>
          <w:tcPr>
            <w:tcW w:w="1276" w:type="dxa"/>
          </w:tcPr>
          <w:p w14:paraId="66A5D860" w14:textId="77777777" w:rsidR="00FD5149" w:rsidRPr="006E3B0D" w:rsidRDefault="00FD5149" w:rsidP="00FD5149">
            <w:pPr>
              <w:jc w:val="left"/>
              <w:rPr>
                <w:b/>
                <w:sz w:val="18"/>
                <w:szCs w:val="24"/>
              </w:rPr>
            </w:pPr>
            <w:r>
              <w:rPr>
                <w:sz w:val="18"/>
                <w:szCs w:val="24"/>
                <w:color w:val="000000"/>
              </w:rPr>
              <w:t xml:space="preserve">Sem. 13–15</w:t>
            </w:r>
          </w:p>
        </w:tc>
        <w:tc>
          <w:tcPr>
            <w:tcW w:w="1275" w:type="dxa"/>
          </w:tcPr>
          <w:p w14:paraId="036AB5D8"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Tsung-Hao, Catalina y Felipe</w:t>
            </w:r>
          </w:p>
        </w:tc>
        <w:tc>
          <w:tcPr>
            <w:tcW w:w="1276" w:type="dxa"/>
          </w:tcPr>
          <w:p w14:paraId="2FCEC037"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214 pruebas y build aprobados</w:t>
            </w:r>
          </w:p>
        </w:tc>
        <w:tc>
          <w:tcPr>
            <w:tcW w:w="1418" w:type="dxa"/>
          </w:tcPr>
          <w:p w14:paraId="29B0BFEB" w14:textId="77777777" w:rsidR="00FD5149" w:rsidRPr="00E54467"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En curso: revisión y entrega</w:t>
            </w:r>
          </w:p>
        </w:tc>
        <w:tc>
          <w:tcPr>
            <w:tcW w:w="850" w:type="dxa"/>
          </w:tcPr>
          <w:p w14:paraId="7C6D6F31" w14:textId="77777777" w:rsidR="00FD5149" w:rsidRPr="006E3B0D" w:rsidRDefault="00FD5149" w:rsidP="00FD5149">
            <w:pPr>
              <w:jc w:val="left"/>
              <w:rPr>
                <w:rFonts w:ascii="Calibri" w:hAnsi="Calibri" w:cs="Arial"/>
                <w:i/>
                <w:color w:val="548DD4"/>
                <w:sz w:val="18"/>
                <w:szCs w:val="20"/>
                <w:lang w:eastAsia="es-CL"/>
              </w:rPr>
            </w:pPr>
            <w:r>
              <w:rPr>
                <w:rFonts w:ascii="Calibri" w:hAnsi="Calibri" w:cs="Arial"/>
                <w:sz w:val="18"/>
                <w:szCs w:val="20"/>
                <w:lang w:eastAsia="es-CL"/>
                <w:color w:val="000000"/>
              </w:rPr>
              <w:t xml:space="preserve">Pruebas e informe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left"/>
              <w:rPr>
                <w:rFonts w:ascii="Calibri" w:hAnsi="Calibri"/>
                <w:color w:val="1F3864" w:themeColor="accent1" w:themeShade="80"/>
              </w:rPr>
            </w:pPr>
            <w:r>
              <w:rPr>
                <w:rFonts w:ascii="Calibri" w:hAnsi="Calibri"/>
                <w:color w:val="000000"/>
              </w:rPr>
              <w:t xml:space="preserve">Se mantuvo el alcance funcional. Los cambios se concentraron en la ejecución local, la integración de módulos y la corrección de defectos observados durante las pruebas.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left"/>
              <w:rPr>
                <w:rFonts w:ascii="Calibri" w:hAnsi="Calibri" w:cs="Arial"/>
                <w:i/>
                <w:iCs/>
                <w:color w:val="548DD4"/>
                <w:sz w:val="20"/>
                <w:szCs w:val="20"/>
                <w:lang w:eastAsia="es-CL"/>
              </w:rPr>
            </w:pPr>
            <w:r>
              <w:rPr>
                <w:rFonts w:ascii="Calibri" w:hAnsi="Calibri" w:cs="Arial"/>
                <w:sz w:val="20"/>
                <w:szCs w:val="20"/>
                <w:lang w:eastAsia="es-CL"/>
                <w:color w:val="000000"/>
              </w:rPr>
              <w:t xml:space="preserve">Factores que facilitaron o dificultaron el desarrollo</w:t>
              <w:br/>
              <w:t xml:space="preserve">El repositorio compartido y Docker permitieron reunir los módulos de los tres integrantes y trabajar con datos ficticios sin afectar el despliegue. El emulador ofrece una interfaz para revisar los documentos guardados. Durante la integración se detectó el rechazo de la nota interna de recorrección y se corrigió con pruebas previas y posteriores. Se revisó la reserva de correo ante concurrencia; las repeticiones aprobaron, aunque no se demostró la causa exacta del timeout histórico. La falta de una cuenta de pruebas mantiene abierta la aceptación de Stripe.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left"/>
              <w:rPr>
                <w:rFonts w:ascii="Calibri" w:hAnsi="Calibri" w:cs="Arial"/>
                <w:i/>
                <w:color w:val="548DD4"/>
                <w:sz w:val="20"/>
                <w:szCs w:val="20"/>
                <w:lang w:eastAsia="es-CL"/>
              </w:rPr>
            </w:pPr>
            <w:r>
              <w:rPr>
                <w:rFonts w:ascii="Calibri" w:hAnsi="Calibri" w:cs="Arial"/>
                <w:sz w:val="20"/>
                <w:szCs w:val="20"/>
                <w:lang w:eastAsia="es-CL"/>
                <w:color w:val="000000"/>
              </w:rPr>
              <w:t xml:space="preserve">Actividades ajustadas</w:t>
              <w:br/>
              <w:t xml:space="preserve">Se conservó el backend Node.js/Express y los 27 endpoints del contrato original. El trabajo se repartió por módulos relacionados: Tsung-Hao, acceso, usuarios, soporte y operación; Catalina, patrocinadores, preguntas y recorrecciones; Felipe, funcionalidades, planes y métricas. El laboratorio Docker se dedicó a medición y reinicio real en desarrollo. Se agregó un disparador protegido para actualizar métricas desde una agenda remota. La documentación y las pruebas se consolidaron como entrega grupal.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left"/>
              <w:rPr>
                <w:rFonts w:ascii="Calibri" w:hAnsi="Calibri" w:cs="Arial"/>
                <w:i/>
                <w:color w:val="548DD4"/>
                <w:sz w:val="20"/>
                <w:szCs w:val="20"/>
                <w:lang w:eastAsia="es-CL"/>
              </w:rPr>
            </w:pPr>
            <w:r>
              <w:rPr>
                <w:rFonts w:ascii="Calibri" w:hAnsi="Calibri" w:cs="Arial"/>
                <w:sz w:val="20"/>
                <w:szCs w:val="20"/>
                <w:lang w:eastAsia="es-CL"/>
                <w:color w:val="000000"/>
              </w:rPr>
              <w:t xml:space="preserve">Actividades pendientes</w:t>
              <w:br/>
              <w:t xml:space="preserve">Se requiere crear u obtener una cuenta Stripe sandbox autorizada y comprobar un cambio de precio contra el proveedor. También faltan configurar y observar la agenda remota de métricas, acordar los servicios de desarrollo de la empresa, repetir la recepción en los computadores de los compañeros y completar la revisión de pares. Los tres diarios individuales 2.1 todavía no están hechos, según confirmación del equipo. El informe final requiere revisión de reflexiones y competencias. La publicación en GitHub registra el avance, pero no sustituye la aceptación ni la entrega en la plataforma académica.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