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left"/>
      </w:pPr>
      <w:r>
        <w:rPr>
          <w:rFonts w:ascii="Calibri" w:hAnsi="Calibri"/>
          <w:b/>
          <w:i w:val="0"/>
          <w:color w:val="1F4D78"/>
          <w:sz w:val="48"/>
        </w:rPr>
        <w:t>Product Vision y criterios de éxito</w:t>
      </w:r>
    </w:p>
    <w:p>
      <w:pPr>
        <w:spacing w:after="320"/>
      </w:pPr>
      <w:r>
        <w:rPr>
          <w:rFonts w:ascii="Calibri" w:hAnsi="Calibri"/>
          <w:b w:val="0"/>
          <w:i/>
          <w:color w:val="464646"/>
          <w:sz w:val="23"/>
        </w:rPr>
        <w:t xml:space="preserve">Visión del producto, usuarios y resultados esperados.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48"/>
        <w:gridCol w:w="6912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03864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03864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Código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AA-F1-INI-03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Proyecto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Aprueba Administración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Versión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0.3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Fecha de control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28-10-2026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Estado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Actualizado para revisión del equipo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Clasificación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Entrega académica del Grupo 8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Propietario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Tsung-Hao Liu, Catalina Padilla y Felipe Rojas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Revisor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Revisión de pares pendiente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Autoridad de aprobación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Validación del equipo y evaluación docente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Fuentes rectoras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Contrato original de 27 endpoints y evidencia técnica del 27-10-2026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Calibri" w:hAnsi="Calibri"/>
          <w:b/>
          <w:i w:val="0"/>
          <w:color w:val="376092"/>
          <w:sz w:val="28"/>
        </w:rPr>
        <w:t>1. Visión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 xml:space="preserve">Para los equipos de administración, finanzas, operaciones y soporte de Aprueba, el producto ofrece una API que concentra las tareas de negocio, controla el acceso según el rol y registra las acciones sensibles. Una interfaz web permite consultar y demostrar estas funciones sobre datos de prueba.</w:t>
      </w:r>
    </w:p>
    <w:p>
      <w:pPr>
        <w:pStyle w:val="Heading1"/>
        <w:keepNext/>
        <w:spacing w:before="200" w:after="100"/>
      </w:pPr>
      <w:r>
        <w:rPr>
          <w:rFonts w:ascii="Calibri" w:hAnsi="Calibri"/>
          <w:b/>
          <w:i w:val="0"/>
          <w:color w:val="376092"/>
          <w:sz w:val="28"/>
        </w:rPr>
        <w:t>2. Product Goal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 xml:space="preserve">Entregar una API administrativa de 27 endpoints, con persistencia en Firestore, reglas de negocio verificables y ejecución reproducible mediante Docker. La aceptación requiere pruebas, revisión del equipo y comprobación de las integraciones externas acordadas.</w:t>
      </w:r>
    </w:p>
    <w:p>
      <w:pPr>
        <w:pStyle w:val="Heading1"/>
        <w:keepNext/>
        <w:spacing w:before="200" w:after="100"/>
      </w:pPr>
      <w:r>
        <w:rPr>
          <w:rFonts w:ascii="Calibri" w:hAnsi="Calibri"/>
          <w:b/>
          <w:i w:val="0"/>
          <w:color w:val="376092"/>
          <w:sz w:val="28"/>
        </w:rPr>
        <w:t>3. Usuarios objetivo y necesidades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3600"/>
        <w:gridCol w:w="3744"/>
      </w:tblGrid>
      <w:tr>
        <w:trPr>
          <w:tblHeader w:val="true"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03864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Grupo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03864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Necesidad del caso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03864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8"/>
                <w:color w:val="FFFFFF"/>
              </w:rPr>
              <w:t xml:space="preserve">Aplicación en el proyecto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Gerencia y finanzas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Descargas, usuarios activos, conversión y recaudación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Datos ficticios persistidos; actividad en 30 días y conversión sobre activos.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Operaciones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Salud HTTP, recursos y reinicios controlados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Sondas y contenedor de pruebas local; servicios empresariales pendientes.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Soporte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Usuarios, tickets y recorrecciones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Permisos, respuestas y resolución con notificación dentro de la aplicación.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Contenido y producto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Preguntas, patrocinadores, funcionalidades y planes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Importación en borrador y sincronización de precios con proveedor de pruebas.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Calibri" w:hAnsi="Calibri"/>
          <w:b/>
          <w:i w:val="0"/>
          <w:color w:val="376092"/>
          <w:sz w:val="28"/>
        </w:rPr>
        <w:t>4. Propuesta de valor y resultados esperados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Un punto de acceso administrativo coherente con roles.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Acciones sensibles trazables y revisables.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Información operativa y comercial accesible solo a roles autorizados.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Cambios de producto dentro de límites validados, sin intervención técnica adicional cuando corresponda.</w:t>
      </w:r>
    </w:p>
    <w:p>
      <w:pPr>
        <w:pStyle w:val="ListBullet"/>
        <w:spacing w:after="120" w:line="264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Evidencia académica y técnica reproducible del trabajo del equipo.</w:t>
      </w:r>
    </w:p>
    <w:p>
      <w:pPr>
        <w:pStyle w:val="Heading1"/>
        <w:keepNext/>
        <w:spacing w:before="200" w:after="100"/>
      </w:pPr>
      <w:r>
        <w:rPr>
          <w:rFonts w:ascii="Calibri" w:hAnsi="Calibri"/>
          <w:b/>
          <w:i w:val="0"/>
          <w:color w:val="376092"/>
          <w:sz w:val="28"/>
        </w:rPr>
        <w:t xml:space="preserve">5. Criterios de éxito y avance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3888"/>
        <w:gridCol w:w="2592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03864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8"/>
                <w:color w:val="FFFFFF"/>
              </w:rPr>
              <w:t xml:space="preserve">Criterio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03864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8"/>
                <w:color w:val="FFFFFF"/>
              </w:rPr>
              <w:t xml:space="preserve">Comprobación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03864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8"/>
                <w:color w:val="FFFFFF"/>
              </w:rPr>
              <w:t xml:space="preserve">Avance al 27-10-2026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Acceso por rol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Pruebas positivas y negativas de autenticación y permisos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Casos automatizados aprobados; revisión de pares pendiente.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Operaciones consistentes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Transacciones, auditoría e idempotencia en cambios sensibles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Comprobación local; falta aceptación de Stripe externo.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Flujos administrativos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Consultas y cambios persistidos en Firestore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Implementación integrada y capturas de recorridos locales.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Entorno reproducible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Aplicación, API, emulador y laboratorio Docker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Build y ejecución local comprobados; recepción en otros PC pendiente.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Calidad y aceptación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Registros por suite, defectos y revisión del equipo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214 pruebas aprobadas; aceptación grupal pendiente.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/>
      </w:pPr>
      <w:r>
        <w:rPr>
          <w:rFonts w:ascii="Calibri" w:hAnsi="Calibri"/>
          <w:b/>
          <w:i w:val="0"/>
          <w:color w:val="376092"/>
          <w:sz w:val="28"/>
        </w:rPr>
        <w:t>6. Límites de la visión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 xml:space="preserve">El alcance es la sección 4 del contrato original: 27 endpoints administrativos desarrollados con JavaScript, Node.js y Express. El trabajo se organiza en cinco sprints. La aplicación del alumno y el generador quedan fuera. La operación de contenedores se demuestra en un laboratorio Docker local autorizado; Stripe requiere una cuenta de pruebas. No se han aceptado operaciones sobre infraestructura productiva.</w:t>
      </w:r>
    </w:p>
    <w:p>
      <w:pPr>
        <w:pStyle w:val="Heading1"/>
        <w:keepNext/>
        <w:spacing w:before="200" w:after="100"/>
      </w:pPr>
      <w:r>
        <w:rPr>
          <w:rFonts w:ascii="Calibri" w:hAnsi="Calibri"/>
          <w:b/>
          <w:i w:val="0"/>
          <w:color w:val="376092"/>
          <w:sz w:val="28"/>
        </w:rPr>
        <w:t>Control de cambios y aprobación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8"/>
        <w:gridCol w:w="1584"/>
        <w:gridCol w:w="5184"/>
        <w:gridCol w:w="1584"/>
      </w:tblGrid>
      <w:tr>
        <w:trPr>
          <w:tblHeader w:val="true"/>
        </w:trP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03864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03864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03864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Cambio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03864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0.1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19-08-2026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 xml:space="preserve">Versión inicial del documento.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Sustituido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0.2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19-08-2026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 xml:space="preserve">Organización del contenido por tema.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Pendiente de validación</w:t>
            </w:r>
          </w:p>
        </w:tc>
      </w:tr>
      <w:tr>
        <w:trPr/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0.3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28-10-2026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Actualización a 27 endpoints, cinco sprints y avance comprobado.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/>
                <w:sz w:val="17"/>
                <w:color w:val="000000"/>
              </w:rPr>
              <w:t xml:space="preserve">Revisión del equipo pendiente</w:t>
            </w:r>
          </w:p>
        </w:tc>
      </w:tr>
    </w:tbl>
    <w:p>
      <w:pPr>
        <w:spacing w:after="20"/>
      </w:pP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 xml:space="preserve">El corte técnico registra 214 pruebas aprobadas y compilación del cliente el 27-10-2026. Continúan pendientes Stripe externo, validación remota y revisión de pares. La actualización documental no constituye aprobación docente.</w:t>
      </w:r>
    </w:p>
    <w:sectPr>
      <w:headerReference w:type="default" r:id="rId9"/>
      <w:footerReference w:type="default" r:id="rId10"/>
      <w:pgSz w:w="12240" w:h="15840"/>
      <w:pgMar w:top="691" w:right="1152" w:bottom="691" w:left="1152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D6676"/>
        <w:sz w:val="17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D6676"/>
        <w:sz w:val="17"/>
      </w:rPr>
      <w:t>AA-F1-INI-03 · APRUEBA ADMINISTRACIÓN · FASE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Vision — Aprueba Administración</dc:title>
  <dc:subject>Capstone PTY4614 · Fase 1 · documentación profesional interna</dc:subject>
  <dc:creator>Equipo Aprueba Administración</dc:creator>
  <cp:keywords>Aprueba Administración, inicio, planificación, trazabilidad</cp:keywords>
  <dc:description>Documento controlado; datos personales pendientes no se han inventado.</dc:description>
  <cp:lastModifiedBy>Equipo Aprueba Administración</cp:lastModifiedBy>
  <cp:revision>1</cp:revision>
  <dcterms:created xsi:type="dcterms:W3CDTF">2013-12-23T23:15:00Z</dcterms:created>
  <dcterms:modified xsi:type="dcterms:W3CDTF">2013-12-23T23:15:00Z</dcterms:modified>
  <cp:category/>
</cp:coreProperties>
</file>