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2025-2026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2025-07-23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120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Appréhender les domaines de recherche opérationnelle</w:t>
              <w:br/>
              <w:t>3. Etudier les méthodes pour la résolution de problèmes d'optimisation</w:t>
              <w:br/>
              <w:t>4. Utiliser les outils pour l'aide à la décision.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