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&lt;&lt;sequences&gt;&gt;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2025-07-19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60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/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1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Connaitre la recherche opérationnelle</w:t>
              <w:br/>
              <w:t>2. Initiation et réalisation une veille technologique</w:t>
              <w:br/>
              <w:t>3. Appréhender les domaines de recherche opérationnelle</w:t>
              <w:br/>
              <w:t>4. Organiser une veille technologique et informatique</w:t>
              <w:br/>
              <w:t>5. Etudier les méthodes pour la résolution de problèmes d'optimisation</w:t>
              <w:br/>
              <w:t>6. Outils de veille technologique</w:t>
              <w:br/>
              <w:t>7. Utiliser les outils pour l'aide à la décision.</w:t>
              <w:br/>
              <w:t>8. Utilité de la veille technologique en informatique</w:t>
              <w:br/>
              <w:t>9. .Les sources d’information pour la veille technologique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