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&lt;&lt;filiere&gt;&gt;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&lt;&lt;annee_formation&gt;&gt;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&lt;&lt;formateur&gt;&gt;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lang w:val="en-US"/>
              </w:rPr>
              <w:t>&lt;&lt;unite_formation&gt;&gt;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 w:rsidRPr="000C230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0C230E" w:rsidRPr="000C230E">
              <w:rPr>
                <w:rFonts w:ascii="Tahoma" w:hAnsi="Tahoma" w:cs="Tahoma"/>
              </w:rPr>
              <w:t xml:space="preserve"> </w:t>
            </w:r>
            <w:r w:rsidR="00A30F7E" w:rsidRPr="00A30F7E">
              <w:rPr>
                <w:rFonts w:ascii="Tahoma" w:hAnsi="Tahoma" w:cs="Tahoma"/>
                <w:lang w:val="en-US"/>
              </w:rPr>
              <w:t>&lt;&lt;objectif&gt;&gt;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&lt;&lt;date_epreuve&gt;&gt;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Durée de </w:t>
            </w:r>
            <w:r w:rsidRPr="00312F65">
              <w:rPr>
                <w:rFonts w:asciiTheme="minorHAnsi" w:hAnsiTheme="minorHAnsi" w:cstheme="minorHAnsi"/>
                <w:iCs/>
                <w:sz w:val="18"/>
                <w:szCs w:val="18"/>
              </w:rPr>
              <w:t xml:space="preserve">l’épreuve :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</w:rPr>
              <w:t xml:space="preserve"> </w:t>
            </w:r>
            <w:r w:rsidR="00A30F7E" w:rsidRPr="00A30F7E"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  <w:t>&lt;&lt;duree&gt;&gt;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&lt;&lt;cc&gt;&gt;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&lt;&lt;numero&gt;&gt;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4"/>
              </w:rPr>
              <w:t>&lt;&lt;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  <w:r>
              <w:rPr>
                <w:rFonts w:asciiTheme="minorHAnsi" w:hAnsiTheme="minorHAnsi" w:cstheme="minorHAnsi"/>
                <w:iCs/>
                <w:sz w:val="22"/>
                <w:szCs w:val="24"/>
              </w:rPr>
              <w:t>&gt;&gt;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4"/>
              </w:rPr>
              <w:t>&lt;&lt;th&gt;&gt;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4"/>
              </w:rPr>
              <w:t>&lt;&lt;pratique&gt;&gt;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&lt;&lt;conditions&gt;&gt;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